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F1CC" w14:textId="2DC9BF7D" w:rsidR="002C28A8" w:rsidRPr="001652BE" w:rsidRDefault="002C28A8" w:rsidP="00AE7B7A">
      <w:pPr>
        <w:spacing w:before="360" w:after="360" w:line="360" w:lineRule="auto"/>
        <w:jc w:val="both"/>
        <w:rPr>
          <w:rFonts w:asciiTheme="minorBidi" w:eastAsia="Calibri" w:hAnsiTheme="minorBidi" w:cstheme="minorBidi"/>
          <w:b/>
          <w:sz w:val="22"/>
          <w:szCs w:val="22"/>
          <w:lang w:val="es-ES_tradnl"/>
        </w:rPr>
      </w:pPr>
      <w:r w:rsidRPr="001652BE">
        <w:rPr>
          <w:rFonts w:asciiTheme="minorBidi" w:hAnsiTheme="minorBidi" w:cstheme="minorBidi"/>
          <w:b/>
          <w:bCs/>
          <w:sz w:val="22"/>
          <w:szCs w:val="22"/>
          <w:lang w:val="es-ES_tradnl"/>
        </w:rPr>
        <w:t>PROYECTO DE RESOLUCIÓN A-33/DR. [3.3.1]</w:t>
      </w:r>
    </w:p>
    <w:p w14:paraId="05F0BDD2" w14:textId="3E17AEC3" w:rsidR="005533C7" w:rsidRPr="001652BE" w:rsidRDefault="002C28A8" w:rsidP="000928C2">
      <w:pPr>
        <w:spacing w:after="360" w:line="360" w:lineRule="auto"/>
        <w:jc w:val="both"/>
        <w:rPr>
          <w:rFonts w:asciiTheme="minorBidi" w:eastAsiaTheme="minorEastAsia" w:hAnsiTheme="minorBidi" w:cstheme="minorBidi"/>
          <w:sz w:val="22"/>
          <w:szCs w:val="22"/>
          <w:lang w:val="es-ES_tradnl"/>
        </w:rPr>
      </w:pPr>
      <w:r w:rsidRPr="001652BE">
        <w:rPr>
          <w:rFonts w:asciiTheme="minorBidi" w:hAnsiTheme="minorBidi" w:cstheme="minorBidi"/>
          <w:sz w:val="22"/>
          <w:szCs w:val="22"/>
          <w:lang w:val="es-ES_tradnl"/>
        </w:rPr>
        <w:t xml:space="preserve">Presentado por: </w:t>
      </w:r>
      <w:r w:rsidR="00F5458E" w:rsidRPr="001652BE">
        <w:rPr>
          <w:rFonts w:asciiTheme="minorBidi" w:hAnsiTheme="minorBidi" w:cstheme="minorBidi"/>
          <w:sz w:val="22"/>
          <w:szCs w:val="22"/>
          <w:lang w:val="es-ES_tradnl"/>
        </w:rPr>
        <w:t>Kenya, Comoras, Guinea, Liberia, Namibia, Nigeria, República Democrática del Congo, Senegal, Sudáfrica y Togo</w:t>
      </w:r>
    </w:p>
    <w:p w14:paraId="79019866" w14:textId="026DDA9D" w:rsidR="004B1009" w:rsidRPr="001652BE" w:rsidRDefault="005533C7" w:rsidP="002310F7">
      <w:pPr>
        <w:spacing w:after="360" w:line="360" w:lineRule="auto"/>
        <w:jc w:val="both"/>
        <w:rPr>
          <w:rStyle w:val="Ttulo2Car"/>
          <w:rFonts w:asciiTheme="minorBidi" w:hAnsiTheme="minorBidi" w:cstheme="minorBidi"/>
          <w:caps/>
          <w:sz w:val="22"/>
          <w:szCs w:val="22"/>
          <w:lang w:val="es-ES_tradnl"/>
        </w:rPr>
      </w:pPr>
      <w:r w:rsidRPr="001652BE">
        <w:rPr>
          <w:rFonts w:asciiTheme="minorBidi" w:hAnsiTheme="minorBidi" w:cstheme="minorBidi"/>
          <w:b/>
          <w:bCs/>
          <w:caps/>
          <w:sz w:val="22"/>
          <w:szCs w:val="22"/>
          <w:lang w:val="es-ES_tradnl"/>
        </w:rPr>
        <w:t xml:space="preserve">Fortalecimiento de la Secretaría de IOCAFRICA: un imperativo estratégico para fomentar las ciencias oceánicas y la gobernanza del océano en África y los Estados insulares </w:t>
      </w:r>
      <w:r w:rsidR="00482716" w:rsidRPr="001652BE">
        <w:rPr>
          <w:rFonts w:asciiTheme="minorBidi" w:hAnsiTheme="minorBidi" w:cstheme="minorBidi"/>
          <w:b/>
          <w:bCs/>
          <w:caps/>
          <w:sz w:val="22"/>
          <w:szCs w:val="22"/>
          <w:lang w:val="es-ES_tradnl"/>
        </w:rPr>
        <w:t>ADYACENTES</w:t>
      </w:r>
    </w:p>
    <w:p w14:paraId="4D408561" w14:textId="20BBB2FB" w:rsidR="002C28A8" w:rsidRPr="001652BE" w:rsidRDefault="00252C0F" w:rsidP="000928C2">
      <w:pPr>
        <w:spacing w:after="120" w:line="360" w:lineRule="auto"/>
        <w:jc w:val="both"/>
        <w:rPr>
          <w:rFonts w:asciiTheme="minorBidi" w:hAnsiTheme="minorBidi" w:cstheme="minorBidi"/>
          <w:b/>
          <w:bCs/>
          <w:iCs/>
          <w:sz w:val="22"/>
          <w:szCs w:val="22"/>
          <w:lang w:val="es-ES_tradnl"/>
        </w:rPr>
      </w:pPr>
      <w:r w:rsidRPr="001652BE">
        <w:rPr>
          <w:rFonts w:asciiTheme="minorBidi" w:hAnsiTheme="minorBidi" w:cstheme="minorBidi"/>
          <w:b/>
          <w:bCs/>
          <w:sz w:val="22"/>
          <w:szCs w:val="22"/>
          <w:lang w:val="es-ES_tradnl"/>
        </w:rPr>
        <w:t>La Comisión Oceanográfica Intergubernamental,</w:t>
      </w:r>
    </w:p>
    <w:p w14:paraId="2D4311E3" w14:textId="69FAD516" w:rsidR="00E17E7F" w:rsidRPr="001652BE" w:rsidRDefault="00E17E7F"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bookmarkStart w:id="0" w:name="_Hlk201915201"/>
      <w:r w:rsidRPr="001652BE">
        <w:rPr>
          <w:rFonts w:asciiTheme="minorBidi" w:hAnsiTheme="minorBidi" w:cstheme="minorBidi"/>
          <w:b/>
          <w:bCs/>
          <w:sz w:val="22"/>
          <w:szCs w:val="22"/>
          <w:lang w:val="es-ES_tradnl"/>
        </w:rPr>
        <w:t>Recordando</w:t>
      </w:r>
      <w:r w:rsidRPr="001652BE">
        <w:rPr>
          <w:rFonts w:asciiTheme="minorBidi" w:hAnsiTheme="minorBidi" w:cstheme="minorBidi"/>
          <w:sz w:val="22"/>
          <w:szCs w:val="22"/>
          <w:lang w:val="es-ES_tradnl"/>
        </w:rPr>
        <w:t xml:space="preserve"> la resolución 41</w:t>
      </w:r>
      <w:r w:rsidR="002310F7" w:rsidRPr="001652BE">
        <w:rPr>
          <w:rFonts w:asciiTheme="minorBidi" w:hAnsiTheme="minorBidi" w:cstheme="minorBidi"/>
          <w:sz w:val="22"/>
          <w:szCs w:val="22"/>
          <w:lang w:val="es-ES_tradnl"/>
        </w:rPr>
        <w:t> C/</w:t>
      </w:r>
      <w:r w:rsidRPr="001652BE">
        <w:rPr>
          <w:rFonts w:asciiTheme="minorBidi" w:hAnsiTheme="minorBidi" w:cstheme="minorBidi"/>
          <w:sz w:val="22"/>
          <w:szCs w:val="22"/>
          <w:lang w:val="es-ES_tradnl"/>
        </w:rPr>
        <w:t>56 de la Conferencia General, la decisión 216</w:t>
      </w:r>
      <w:r w:rsidR="002310F7" w:rsidRPr="001652BE">
        <w:rPr>
          <w:rFonts w:asciiTheme="minorBidi" w:hAnsiTheme="minorBidi" w:cstheme="minorBidi"/>
          <w:sz w:val="22"/>
          <w:szCs w:val="22"/>
          <w:lang w:val="es-ES_tradnl"/>
        </w:rPr>
        <w:t> EX/</w:t>
      </w:r>
      <w:r w:rsidRPr="001652BE">
        <w:rPr>
          <w:rFonts w:asciiTheme="minorBidi" w:hAnsiTheme="minorBidi" w:cstheme="minorBidi"/>
          <w:sz w:val="22"/>
          <w:szCs w:val="22"/>
          <w:lang w:val="es-ES_tradnl"/>
        </w:rPr>
        <w:t>44 del Consejo Ejecutivo y la resolución A-32/4 de la COI,</w:t>
      </w:r>
    </w:p>
    <w:bookmarkEnd w:id="0"/>
    <w:p w14:paraId="2485AFDF" w14:textId="20124C38" w:rsidR="004A7CAE" w:rsidRPr="001652BE" w:rsidRDefault="00A94BC2"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Reconociendo</w:t>
      </w:r>
      <w:r w:rsidRPr="001652BE">
        <w:rPr>
          <w:rFonts w:asciiTheme="minorBidi" w:hAnsiTheme="minorBidi" w:cstheme="minorBidi"/>
          <w:sz w:val="22"/>
          <w:szCs w:val="22"/>
          <w:lang w:val="es-ES_tradnl"/>
        </w:rPr>
        <w:t xml:space="preserve"> la importancia estratégica de las regiones oceánicas y costeras de África para el mandato de la Comisión Oceanográfica Intergubernamental (COI), la población africana y el mundo,</w:t>
      </w:r>
    </w:p>
    <w:p w14:paraId="1FA3AF13" w14:textId="071E2611" w:rsidR="004A7CAE" w:rsidRPr="001652BE" w:rsidRDefault="00A866AA"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Recordando también</w:t>
      </w:r>
      <w:r w:rsidRPr="001652BE">
        <w:rPr>
          <w:rFonts w:asciiTheme="minorBidi" w:hAnsiTheme="minorBidi" w:cstheme="minorBidi"/>
          <w:sz w:val="22"/>
          <w:szCs w:val="22"/>
          <w:lang w:val="es-ES_tradnl"/>
        </w:rPr>
        <w:t xml:space="preserve"> que la designación de África como prioridad global por parte de la UNESCO y el compromiso constante </w:t>
      </w:r>
      <w:r w:rsidR="009649DD" w:rsidRPr="001652BE">
        <w:rPr>
          <w:rFonts w:asciiTheme="minorBidi" w:hAnsiTheme="minorBidi" w:cstheme="minorBidi"/>
          <w:sz w:val="22"/>
          <w:szCs w:val="22"/>
          <w:lang w:val="es-ES_tradnl"/>
        </w:rPr>
        <w:t>plasmado en</w:t>
      </w:r>
      <w:r w:rsidRPr="001652BE">
        <w:rPr>
          <w:rFonts w:asciiTheme="minorBidi" w:hAnsiTheme="minorBidi" w:cstheme="minorBidi"/>
          <w:sz w:val="22"/>
          <w:szCs w:val="22"/>
          <w:lang w:val="es-ES_tradnl"/>
        </w:rPr>
        <w:t xml:space="preserve"> la Agenda 2030 y la Agenda 2063 de la Unión Africana proporcionan un marco que está estrechamente vinculado con los objetivos de la COI relativos a la cooperación científica equitativa e inclusiva,</w:t>
      </w:r>
    </w:p>
    <w:p w14:paraId="774E843E" w14:textId="584242D5" w:rsidR="00397F12" w:rsidRPr="001652BE" w:rsidRDefault="00A866AA"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Recordando además</w:t>
      </w:r>
      <w:r w:rsidRPr="001652BE">
        <w:rPr>
          <w:rFonts w:asciiTheme="minorBidi" w:hAnsiTheme="minorBidi" w:cstheme="minorBidi"/>
          <w:sz w:val="22"/>
          <w:szCs w:val="22"/>
          <w:lang w:val="es-ES_tradnl"/>
        </w:rPr>
        <w:t xml:space="preserve"> las resoluciones IOC-XXIX/2 </w:t>
      </w:r>
      <w:r w:rsidR="009649DD" w:rsidRPr="001652BE">
        <w:rPr>
          <w:rFonts w:asciiTheme="minorBidi" w:hAnsiTheme="minorBidi" w:cstheme="minorBidi"/>
          <w:sz w:val="22"/>
          <w:szCs w:val="22"/>
          <w:lang w:val="es-ES_tradnl"/>
        </w:rPr>
        <w:t>e</w:t>
      </w:r>
      <w:r w:rsidRPr="001652BE">
        <w:rPr>
          <w:rFonts w:asciiTheme="minorBidi" w:hAnsiTheme="minorBidi" w:cstheme="minorBidi"/>
          <w:sz w:val="22"/>
          <w:szCs w:val="22"/>
          <w:lang w:val="es-ES_tradnl"/>
        </w:rPr>
        <w:t xml:space="preserve"> IOC-XXXI/2, por las que se estableció IOCAFRICA como órgano subsidiario regional encargado de coordinar las ciencias y los servicios marinos y el desarrollo de capacidades en África y los Estados insulares adyacentes,</w:t>
      </w:r>
    </w:p>
    <w:p w14:paraId="33286F9F" w14:textId="0B8AE99F" w:rsidR="00360551" w:rsidRPr="001652BE" w:rsidRDefault="00A866AA"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Reconociendo también</w:t>
      </w:r>
      <w:r w:rsidRPr="001652BE">
        <w:rPr>
          <w:rFonts w:asciiTheme="minorBidi" w:hAnsiTheme="minorBidi" w:cstheme="minorBidi"/>
          <w:sz w:val="22"/>
          <w:szCs w:val="22"/>
          <w:lang w:val="es-ES_tradnl"/>
        </w:rPr>
        <w:t xml:space="preserve"> la función </w:t>
      </w:r>
      <w:r w:rsidR="009649DD" w:rsidRPr="001652BE">
        <w:rPr>
          <w:rFonts w:asciiTheme="minorBidi" w:hAnsiTheme="minorBidi" w:cstheme="minorBidi"/>
          <w:sz w:val="22"/>
          <w:szCs w:val="22"/>
          <w:lang w:val="es-ES_tradnl"/>
        </w:rPr>
        <w:t>decisiva</w:t>
      </w:r>
      <w:r w:rsidRPr="001652BE">
        <w:rPr>
          <w:rFonts w:asciiTheme="minorBidi" w:hAnsiTheme="minorBidi" w:cstheme="minorBidi"/>
          <w:sz w:val="22"/>
          <w:szCs w:val="22"/>
          <w:lang w:val="es-ES_tradnl"/>
        </w:rPr>
        <w:t xml:space="preserve"> que desempeña IOCAFRICA</w:t>
      </w:r>
      <w:r w:rsidR="00B52C4F" w:rsidRPr="001652BE">
        <w:rPr>
          <w:rFonts w:asciiTheme="minorBidi" w:hAnsiTheme="minorBidi" w:cstheme="minorBidi"/>
          <w:sz w:val="22"/>
          <w:szCs w:val="22"/>
          <w:lang w:val="es-ES_tradnl"/>
        </w:rPr>
        <w:t xml:space="preserve"> en el fomento de</w:t>
      </w:r>
      <w:r w:rsidRPr="001652BE">
        <w:rPr>
          <w:rFonts w:asciiTheme="minorBidi" w:hAnsiTheme="minorBidi" w:cstheme="minorBidi"/>
          <w:sz w:val="22"/>
          <w:szCs w:val="22"/>
          <w:lang w:val="es-ES_tradnl"/>
        </w:rPr>
        <w:t xml:space="preserve"> la </w:t>
      </w:r>
      <w:r w:rsidR="00B52C4F" w:rsidRPr="001652BE">
        <w:rPr>
          <w:rFonts w:asciiTheme="minorBidi" w:hAnsiTheme="minorBidi" w:cstheme="minorBidi"/>
          <w:sz w:val="22"/>
          <w:szCs w:val="22"/>
          <w:lang w:val="es-ES_tradnl"/>
        </w:rPr>
        <w:t>ejecu</w:t>
      </w:r>
      <w:r w:rsidRPr="001652BE">
        <w:rPr>
          <w:rFonts w:asciiTheme="minorBidi" w:hAnsiTheme="minorBidi" w:cstheme="minorBidi"/>
          <w:sz w:val="22"/>
          <w:szCs w:val="22"/>
          <w:lang w:val="es-ES_tradnl"/>
        </w:rPr>
        <w:t>ción de la Estrategia a Plazo Medio de la COI (2022-2029), la Estrategia de Economía Azul de la Unión Africana, la Agenda 2063 y el Decenio de las Naciones Unidas de las Ciencias Oceánicas para el Desarrollo Sostenible (2021-2030),</w:t>
      </w:r>
    </w:p>
    <w:p w14:paraId="51382C15" w14:textId="5FBFD645" w:rsidR="000D35C3" w:rsidRPr="001652BE" w:rsidRDefault="000D35C3"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Reafirmando</w:t>
      </w:r>
      <w:r w:rsidRPr="001652BE">
        <w:rPr>
          <w:rFonts w:asciiTheme="minorBidi" w:hAnsiTheme="minorBidi" w:cstheme="minorBidi"/>
          <w:sz w:val="22"/>
          <w:szCs w:val="22"/>
          <w:lang w:val="es-ES_tradnl"/>
        </w:rPr>
        <w:t xml:space="preserve"> que las zonas marinas y costeras de África y los Estados insulares adyacentes son vitales para la biodiversidad mundial, la seguridad alimentaria, los medios de subsistencia y el desarrollo económico, pero siguen estando insuficientemente representadas en la investigación, los sistemas de datos y las estructuras de gobernanza</w:t>
      </w:r>
      <w:r w:rsidR="00B52C4F" w:rsidRPr="001652BE">
        <w:rPr>
          <w:rFonts w:asciiTheme="minorBidi" w:hAnsiTheme="minorBidi" w:cstheme="minorBidi"/>
          <w:sz w:val="22"/>
          <w:szCs w:val="22"/>
          <w:lang w:val="es-ES_tradnl"/>
        </w:rPr>
        <w:t xml:space="preserve"> en relación con el océano</w:t>
      </w:r>
      <w:r w:rsidRPr="001652BE">
        <w:rPr>
          <w:rFonts w:asciiTheme="minorBidi" w:hAnsiTheme="minorBidi" w:cstheme="minorBidi"/>
          <w:sz w:val="22"/>
          <w:szCs w:val="22"/>
          <w:lang w:val="es-ES_tradnl"/>
        </w:rPr>
        <w:t>,</w:t>
      </w:r>
    </w:p>
    <w:p w14:paraId="4578FE35" w14:textId="4F6AB5C6" w:rsidR="00397F12" w:rsidRPr="001652BE" w:rsidRDefault="00360551"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Recordando</w:t>
      </w:r>
      <w:r w:rsidRPr="001652BE">
        <w:rPr>
          <w:rFonts w:asciiTheme="minorBidi" w:hAnsiTheme="minorBidi" w:cstheme="minorBidi"/>
          <w:sz w:val="22"/>
          <w:szCs w:val="22"/>
          <w:lang w:val="es-ES_tradnl"/>
        </w:rPr>
        <w:t xml:space="preserve"> que IOCAFRICA se ha convertido en una piedra angular de la ejecución por África y los Estados insulares adyacentes del Decenio de las Naciones Unidas de las Ciencias Oceánicas </w:t>
      </w:r>
      <w:r w:rsidRPr="001652BE">
        <w:rPr>
          <w:rFonts w:asciiTheme="minorBidi" w:hAnsiTheme="minorBidi" w:cstheme="minorBidi"/>
          <w:sz w:val="22"/>
          <w:szCs w:val="22"/>
          <w:lang w:val="es-ES_tradnl"/>
        </w:rPr>
        <w:lastRenderedPageBreak/>
        <w:t>para el Desarrollo Sostenible y ha servido de mecanismo principal para cumplir el mandato de la COI en todo el continente africano y los Estados insulares adyacentes,</w:t>
      </w:r>
    </w:p>
    <w:p w14:paraId="1166D33D" w14:textId="65A35EFE" w:rsidR="004A7CAE" w:rsidRPr="001652BE" w:rsidRDefault="00482716" w:rsidP="000928C2">
      <w:pPr>
        <w:pStyle w:val="NormalWeb"/>
        <w:numPr>
          <w:ilvl w:val="0"/>
          <w:numId w:val="7"/>
        </w:numPr>
        <w:spacing w:after="120" w:afterAutospacing="0" w:line="360" w:lineRule="auto"/>
        <w:ind w:left="0" w:hanging="567"/>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Poniendo de relieve</w:t>
      </w:r>
      <w:r w:rsidR="004A7CAE" w:rsidRPr="001652BE">
        <w:rPr>
          <w:rFonts w:asciiTheme="minorBidi" w:hAnsiTheme="minorBidi" w:cstheme="minorBidi"/>
          <w:sz w:val="22"/>
          <w:szCs w:val="22"/>
          <w:lang w:val="es-ES_tradnl"/>
        </w:rPr>
        <w:t xml:space="preserve"> la necesidad de que la COI refuerce el apoyo programático, la capacidad institucional y la representación de los Estados Miembros de África y de los Estados insulares adyacentes, a fin de garantizar una participación plena y activa en la elaboración de las políticas y los programas científicos mundiales relativos a los océanos,</w:t>
      </w:r>
    </w:p>
    <w:p w14:paraId="5346A004" w14:textId="5299A685" w:rsidR="00397F12" w:rsidRPr="001652BE" w:rsidRDefault="00360551" w:rsidP="000928C2">
      <w:pPr>
        <w:pStyle w:val="NormalWeb"/>
        <w:numPr>
          <w:ilvl w:val="0"/>
          <w:numId w:val="7"/>
        </w:numPr>
        <w:spacing w:after="120" w:afterAutospacing="0" w:line="360" w:lineRule="auto"/>
        <w:ind w:left="0" w:hanging="567"/>
        <w:jc w:val="both"/>
        <w:rPr>
          <w:rFonts w:asciiTheme="minorBidi" w:hAnsiTheme="minorBidi" w:cstheme="minorBidi"/>
          <w:b/>
          <w:sz w:val="22"/>
          <w:szCs w:val="22"/>
          <w:lang w:val="es-ES_tradnl"/>
        </w:rPr>
      </w:pPr>
      <w:r w:rsidRPr="001652BE">
        <w:rPr>
          <w:rFonts w:asciiTheme="minorBidi" w:hAnsiTheme="minorBidi" w:cstheme="minorBidi"/>
          <w:b/>
          <w:bCs/>
          <w:sz w:val="22"/>
          <w:szCs w:val="22"/>
          <w:lang w:val="es-ES_tradnl"/>
        </w:rPr>
        <w:t>Recalcando</w:t>
      </w:r>
      <w:r w:rsidRPr="001652BE">
        <w:rPr>
          <w:rFonts w:asciiTheme="minorBidi" w:hAnsiTheme="minorBidi" w:cstheme="minorBidi"/>
          <w:sz w:val="22"/>
          <w:szCs w:val="22"/>
          <w:lang w:val="es-ES_tradnl"/>
        </w:rPr>
        <w:t xml:space="preserve"> que una Secretaría de IOCAFRICA dotada de recursos suficientes y </w:t>
      </w:r>
      <w:r w:rsidR="00B44D6A" w:rsidRPr="001652BE">
        <w:rPr>
          <w:rFonts w:asciiTheme="minorBidi" w:hAnsiTheme="minorBidi" w:cstheme="minorBidi"/>
          <w:sz w:val="22"/>
          <w:szCs w:val="22"/>
          <w:lang w:val="es-ES_tradnl"/>
        </w:rPr>
        <w:t>con una posición estratégica</w:t>
      </w:r>
      <w:r w:rsidRPr="001652BE">
        <w:rPr>
          <w:rFonts w:asciiTheme="minorBidi" w:hAnsiTheme="minorBidi" w:cstheme="minorBidi"/>
          <w:sz w:val="22"/>
          <w:szCs w:val="22"/>
          <w:lang w:val="es-ES_tradnl"/>
        </w:rPr>
        <w:t xml:space="preserve"> es indispensable para garantizar la participación equitativa y el liderazgo de África y los Estados insulares adyacentes en la gobernanza de</w:t>
      </w:r>
      <w:r w:rsidR="00482716" w:rsidRPr="001652BE">
        <w:rPr>
          <w:rFonts w:asciiTheme="minorBidi" w:hAnsiTheme="minorBidi" w:cstheme="minorBidi"/>
          <w:sz w:val="22"/>
          <w:szCs w:val="22"/>
          <w:lang w:val="es-ES_tradnl"/>
        </w:rPr>
        <w:t>l</w:t>
      </w:r>
      <w:r w:rsidRPr="001652BE">
        <w:rPr>
          <w:rFonts w:asciiTheme="minorBidi" w:hAnsiTheme="minorBidi" w:cstheme="minorBidi"/>
          <w:sz w:val="22"/>
          <w:szCs w:val="22"/>
          <w:lang w:val="es-ES_tradnl"/>
        </w:rPr>
        <w:t xml:space="preserve"> océano, la cooperación científica y el diálogo sobre políticas</w:t>
      </w:r>
      <w:r w:rsidR="00482716" w:rsidRPr="001652BE">
        <w:rPr>
          <w:rFonts w:asciiTheme="minorBidi" w:hAnsiTheme="minorBidi" w:cstheme="minorBidi"/>
          <w:sz w:val="22"/>
          <w:szCs w:val="22"/>
          <w:lang w:val="es-ES_tradnl"/>
        </w:rPr>
        <w:t xml:space="preserve"> a escala mundial</w:t>
      </w:r>
      <w:r w:rsidRPr="001652BE">
        <w:rPr>
          <w:rFonts w:asciiTheme="minorBidi" w:hAnsiTheme="minorBidi" w:cstheme="minorBidi"/>
          <w:sz w:val="22"/>
          <w:szCs w:val="22"/>
          <w:lang w:val="es-ES_tradnl"/>
        </w:rPr>
        <w:t>,</w:t>
      </w:r>
    </w:p>
    <w:p w14:paraId="440735FF" w14:textId="042A6D05" w:rsidR="00574B99" w:rsidRPr="001652BE" w:rsidRDefault="00E679DD" w:rsidP="000928C2">
      <w:pPr>
        <w:pStyle w:val="NormalWeb"/>
        <w:numPr>
          <w:ilvl w:val="0"/>
          <w:numId w:val="7"/>
        </w:numPr>
        <w:spacing w:before="0" w:beforeAutospacing="0" w:after="120" w:afterAutospacing="0" w:line="360" w:lineRule="auto"/>
        <w:ind w:left="0" w:hanging="567"/>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Reconociendo con aprecio</w:t>
      </w:r>
      <w:r w:rsidRPr="001652BE">
        <w:rPr>
          <w:rFonts w:asciiTheme="minorBidi" w:hAnsiTheme="minorBidi" w:cstheme="minorBidi"/>
          <w:sz w:val="22"/>
          <w:szCs w:val="22"/>
          <w:lang w:val="es-ES_tradnl"/>
        </w:rPr>
        <w:t xml:space="preserve"> el creciente volumen de proyectos dirigidos por Estados africanos y Estados insulares adyacentes, </w:t>
      </w:r>
      <w:r w:rsidR="00B44D6A" w:rsidRPr="001652BE">
        <w:rPr>
          <w:rFonts w:asciiTheme="minorBidi" w:hAnsiTheme="minorBidi" w:cstheme="minorBidi"/>
          <w:sz w:val="22"/>
          <w:szCs w:val="22"/>
          <w:lang w:val="es-ES_tradnl"/>
        </w:rPr>
        <w:t xml:space="preserve">de </w:t>
      </w:r>
      <w:r w:rsidRPr="001652BE">
        <w:rPr>
          <w:rFonts w:asciiTheme="minorBidi" w:hAnsiTheme="minorBidi" w:cstheme="minorBidi"/>
          <w:sz w:val="22"/>
          <w:szCs w:val="22"/>
          <w:lang w:val="es-ES_tradnl"/>
        </w:rPr>
        <w:t>alianzas regionales y</w:t>
      </w:r>
      <w:r w:rsidR="00B44D6A" w:rsidRPr="001652BE">
        <w:rPr>
          <w:rFonts w:asciiTheme="minorBidi" w:hAnsiTheme="minorBidi" w:cstheme="minorBidi"/>
          <w:sz w:val="22"/>
          <w:szCs w:val="22"/>
          <w:lang w:val="es-ES_tradnl"/>
        </w:rPr>
        <w:t xml:space="preserve"> de</w:t>
      </w:r>
      <w:r w:rsidRPr="001652BE">
        <w:rPr>
          <w:rFonts w:asciiTheme="minorBidi" w:hAnsiTheme="minorBidi" w:cstheme="minorBidi"/>
          <w:sz w:val="22"/>
          <w:szCs w:val="22"/>
          <w:lang w:val="es-ES_tradnl"/>
        </w:rPr>
        <w:t xml:space="preserve"> relaciones de colaboración internacionales facilitadas por conducto de IOCAFRICA, que demuestran la pertinencia y la eficiencia de su Secretaría,</w:t>
      </w:r>
    </w:p>
    <w:p w14:paraId="6ED7B9DF" w14:textId="1F77BCC7" w:rsidR="00397F12" w:rsidRPr="001652BE" w:rsidRDefault="00BA7FAD"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 xml:space="preserve">Tomando nota </w:t>
      </w:r>
      <w:r w:rsidRPr="001652BE">
        <w:rPr>
          <w:rFonts w:asciiTheme="minorBidi" w:hAnsiTheme="minorBidi" w:cstheme="minorBidi"/>
          <w:sz w:val="22"/>
          <w:szCs w:val="22"/>
          <w:lang w:val="es-ES_tradnl"/>
        </w:rPr>
        <w:t>del aumento de las responsabilidades de IOCAFRICA en la coordinación de la ejecución de la Hoja de Ruta del Decenio del Océano para África (IOC/2022/ODS/36 Rev.2), los sistemas regionales de alerta temprana, la infraestructura de datos e información oceanográficos y las iniciativas de desarrollo de capacidades en más de 35 Estados costeros e insulares de África,</w:t>
      </w:r>
    </w:p>
    <w:p w14:paraId="268C7435" w14:textId="5256C232" w:rsidR="009E1F6C" w:rsidRPr="001652BE" w:rsidRDefault="00A866AA"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Reconociendo además</w:t>
      </w:r>
      <w:r w:rsidRPr="001652BE">
        <w:rPr>
          <w:rFonts w:asciiTheme="minorBidi" w:hAnsiTheme="minorBidi" w:cstheme="minorBidi"/>
          <w:sz w:val="22"/>
          <w:szCs w:val="22"/>
          <w:lang w:val="es-ES_tradnl"/>
        </w:rPr>
        <w:t xml:space="preserve"> que la Secretaría de IOCAFRICA actúa simultáneamente como Oficina de Coordinación del Decenio del </w:t>
      </w:r>
      <w:r w:rsidR="002310F7" w:rsidRPr="001652BE">
        <w:rPr>
          <w:rFonts w:asciiTheme="minorBidi" w:hAnsiTheme="minorBidi" w:cstheme="minorBidi"/>
          <w:sz w:val="22"/>
          <w:szCs w:val="22"/>
          <w:lang w:val="es-ES_tradnl"/>
        </w:rPr>
        <w:t>Océano</w:t>
      </w:r>
      <w:r w:rsidRPr="001652BE">
        <w:rPr>
          <w:rFonts w:asciiTheme="minorBidi" w:hAnsiTheme="minorBidi" w:cstheme="minorBidi"/>
          <w:sz w:val="22"/>
          <w:szCs w:val="22"/>
          <w:lang w:val="es-ES_tradnl"/>
        </w:rPr>
        <w:t xml:space="preserve"> para África y los Estados insulares adyacentes, asumiendo así una doble responsabilidad que rebasa</w:t>
      </w:r>
      <w:r w:rsidR="005D3928" w:rsidRPr="001652BE">
        <w:rPr>
          <w:rFonts w:asciiTheme="minorBidi" w:hAnsiTheme="minorBidi" w:cstheme="minorBidi"/>
          <w:sz w:val="22"/>
          <w:szCs w:val="22"/>
          <w:lang w:val="es-ES_tradnl"/>
        </w:rPr>
        <w:t xml:space="preserve"> con creces</w:t>
      </w:r>
      <w:r w:rsidRPr="001652BE">
        <w:rPr>
          <w:rFonts w:asciiTheme="minorBidi" w:hAnsiTheme="minorBidi" w:cstheme="minorBidi"/>
          <w:sz w:val="22"/>
          <w:szCs w:val="22"/>
          <w:lang w:val="es-ES_tradnl"/>
        </w:rPr>
        <w:t xml:space="preserve"> el desarrollo de capacidades </w:t>
      </w:r>
      <w:r w:rsidR="005D3928" w:rsidRPr="001652BE">
        <w:rPr>
          <w:rFonts w:asciiTheme="minorBidi" w:hAnsiTheme="minorBidi" w:cstheme="minorBidi"/>
          <w:sz w:val="22"/>
          <w:szCs w:val="22"/>
          <w:lang w:val="es-ES_tradnl"/>
        </w:rPr>
        <w:t>para incluir</w:t>
      </w:r>
      <w:r w:rsidRPr="001652BE">
        <w:rPr>
          <w:rFonts w:asciiTheme="minorBidi" w:hAnsiTheme="minorBidi" w:cstheme="minorBidi"/>
          <w:sz w:val="22"/>
          <w:szCs w:val="22"/>
          <w:lang w:val="es-ES_tradnl"/>
        </w:rPr>
        <w:t xml:space="preserve"> la coordinación estratégica, la ejecución del programa, el apoyo técnico y la participación de los interesados continentales,</w:t>
      </w:r>
    </w:p>
    <w:p w14:paraId="6677E116" w14:textId="1A80E8CE" w:rsidR="004B1009" w:rsidRPr="001652BE" w:rsidRDefault="00BA7FAD" w:rsidP="000928C2">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Tomando nota también</w:t>
      </w:r>
      <w:r w:rsidRPr="001652BE">
        <w:rPr>
          <w:rFonts w:asciiTheme="minorBidi" w:hAnsiTheme="minorBidi" w:cstheme="minorBidi"/>
          <w:sz w:val="22"/>
          <w:szCs w:val="22"/>
          <w:lang w:val="es-ES_tradnl"/>
        </w:rPr>
        <w:t xml:space="preserve"> de que los Estados Miembros subrayaron la necesidad de que África siguiera siendo una prioridad presupuestaria en la programación de la COI durante los debates celebrados en la Asamblea y el Consejo Ejecutivo de la COI, las reuniones de IOCAFRICA, las reuniones del Grupo Asesor sobre Finanzas para el periodo entre reuniones de composición abierta, y el Comité de Finanzas de la COI, donde se han </w:t>
      </w:r>
      <w:r w:rsidR="005D3928" w:rsidRPr="001652BE">
        <w:rPr>
          <w:rFonts w:asciiTheme="minorBidi" w:hAnsiTheme="minorBidi" w:cstheme="minorBidi"/>
          <w:sz w:val="22"/>
          <w:szCs w:val="22"/>
          <w:lang w:val="es-ES_tradnl"/>
        </w:rPr>
        <w:t>expresado</w:t>
      </w:r>
      <w:r w:rsidRPr="001652BE">
        <w:rPr>
          <w:rFonts w:asciiTheme="minorBidi" w:hAnsiTheme="minorBidi" w:cstheme="minorBidi"/>
          <w:sz w:val="22"/>
          <w:szCs w:val="22"/>
          <w:lang w:val="es-ES_tradnl"/>
        </w:rPr>
        <w:t xml:space="preserve"> preocupaciones similares </w:t>
      </w:r>
      <w:r w:rsidR="005D3928" w:rsidRPr="001652BE">
        <w:rPr>
          <w:rFonts w:asciiTheme="minorBidi" w:hAnsiTheme="minorBidi" w:cstheme="minorBidi"/>
          <w:sz w:val="22"/>
          <w:szCs w:val="22"/>
          <w:lang w:val="es-ES_tradnl"/>
        </w:rPr>
        <w:t>por el hecho de que</w:t>
      </w:r>
      <w:r w:rsidRPr="001652BE">
        <w:rPr>
          <w:rFonts w:asciiTheme="minorBidi" w:hAnsiTheme="minorBidi" w:cstheme="minorBidi"/>
          <w:sz w:val="22"/>
          <w:szCs w:val="22"/>
          <w:lang w:val="es-ES_tradnl"/>
        </w:rPr>
        <w:t xml:space="preserve"> los órganos subsidiarios regionales de la COI</w:t>
      </w:r>
      <w:r w:rsidR="005D3928" w:rsidRPr="001652BE">
        <w:rPr>
          <w:rFonts w:asciiTheme="minorBidi" w:hAnsiTheme="minorBidi" w:cstheme="minorBidi"/>
          <w:sz w:val="22"/>
          <w:szCs w:val="22"/>
          <w:lang w:val="es-ES_tradnl"/>
        </w:rPr>
        <w:t xml:space="preserve"> carecen de recursos suficientes</w:t>
      </w:r>
      <w:r w:rsidRPr="001652BE">
        <w:rPr>
          <w:rFonts w:asciiTheme="minorBidi" w:hAnsiTheme="minorBidi" w:cstheme="minorBidi"/>
          <w:sz w:val="22"/>
          <w:szCs w:val="22"/>
          <w:lang w:val="es-ES_tradnl"/>
        </w:rPr>
        <w:t>,</w:t>
      </w:r>
    </w:p>
    <w:p w14:paraId="3B93DECB" w14:textId="1096B58C" w:rsidR="00A267F1" w:rsidRPr="001652BE" w:rsidRDefault="00A84C0B" w:rsidP="000928C2">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Considerando</w:t>
      </w:r>
      <w:r w:rsidR="00182D16" w:rsidRPr="001652BE">
        <w:rPr>
          <w:rFonts w:asciiTheme="minorBidi" w:hAnsiTheme="minorBidi" w:cstheme="minorBidi"/>
          <w:sz w:val="22"/>
          <w:szCs w:val="22"/>
          <w:lang w:val="es-ES_tradnl"/>
        </w:rPr>
        <w:t xml:space="preserve"> que a partir de julio de 2025 se cubrirá un segundo puesto de</w:t>
      </w:r>
      <w:r w:rsidR="008465E4" w:rsidRPr="001652BE">
        <w:rPr>
          <w:rFonts w:asciiTheme="minorBidi" w:hAnsiTheme="minorBidi" w:cstheme="minorBidi"/>
          <w:sz w:val="22"/>
          <w:szCs w:val="22"/>
          <w:lang w:val="es-ES_tradnl"/>
        </w:rPr>
        <w:t>l Cuadro Orgánico</w:t>
      </w:r>
      <w:r w:rsidR="00182D16" w:rsidRPr="001652BE">
        <w:rPr>
          <w:rFonts w:asciiTheme="minorBidi" w:hAnsiTheme="minorBidi" w:cstheme="minorBidi"/>
          <w:sz w:val="22"/>
          <w:szCs w:val="22"/>
          <w:lang w:val="es-ES_tradnl"/>
        </w:rPr>
        <w:t xml:space="preserve"> financiado con cargo al programa ordinario y </w:t>
      </w:r>
      <w:r w:rsidR="00182D16" w:rsidRPr="001652BE">
        <w:rPr>
          <w:rFonts w:asciiTheme="minorBidi" w:hAnsiTheme="minorBidi" w:cstheme="minorBidi"/>
          <w:b/>
          <w:bCs/>
          <w:sz w:val="22"/>
          <w:szCs w:val="22"/>
          <w:lang w:val="es-ES_tradnl"/>
        </w:rPr>
        <w:t>observando</w:t>
      </w:r>
      <w:r w:rsidR="00182D16" w:rsidRPr="001652BE">
        <w:rPr>
          <w:rFonts w:asciiTheme="minorBidi" w:hAnsiTheme="minorBidi" w:cstheme="minorBidi"/>
          <w:sz w:val="22"/>
          <w:szCs w:val="22"/>
          <w:lang w:val="es-ES_tradnl"/>
        </w:rPr>
        <w:t xml:space="preserve"> que ningún puesto del Cuadro de Servicios Generales </w:t>
      </w:r>
      <w:r w:rsidR="00A45978" w:rsidRPr="001652BE">
        <w:rPr>
          <w:rFonts w:asciiTheme="minorBidi" w:hAnsiTheme="minorBidi" w:cstheme="minorBidi"/>
          <w:sz w:val="22"/>
          <w:szCs w:val="22"/>
          <w:lang w:val="es-ES_tradnl"/>
        </w:rPr>
        <w:t>ni</w:t>
      </w:r>
      <w:r w:rsidR="00182D16" w:rsidRPr="001652BE">
        <w:rPr>
          <w:rFonts w:asciiTheme="minorBidi" w:hAnsiTheme="minorBidi" w:cstheme="minorBidi"/>
          <w:sz w:val="22"/>
          <w:szCs w:val="22"/>
          <w:lang w:val="es-ES_tradnl"/>
        </w:rPr>
        <w:t xml:space="preserve"> otros puestos vitales se financian con asignaciones del presupuesto ordinario,</w:t>
      </w:r>
    </w:p>
    <w:p w14:paraId="6695B1C6" w14:textId="0EA9851C" w:rsidR="00A267F1" w:rsidRPr="001652BE" w:rsidRDefault="00A267F1" w:rsidP="000928C2">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lastRenderedPageBreak/>
        <w:t>Teniendo presente</w:t>
      </w:r>
      <w:r w:rsidRPr="001652BE">
        <w:rPr>
          <w:rFonts w:asciiTheme="minorBidi" w:hAnsiTheme="minorBidi" w:cstheme="minorBidi"/>
          <w:sz w:val="22"/>
          <w:szCs w:val="22"/>
          <w:lang w:val="es-ES_tradnl"/>
        </w:rPr>
        <w:t xml:space="preserve"> que el apoyo administrativo y operacional se ha mantenido gracias a la contribución en especie del Gobierno de Kenya en forma de </w:t>
      </w:r>
      <w:r w:rsidR="00661C4F" w:rsidRPr="001652BE">
        <w:rPr>
          <w:rFonts w:asciiTheme="minorBidi" w:hAnsiTheme="minorBidi" w:cstheme="minorBidi"/>
          <w:sz w:val="22"/>
          <w:szCs w:val="22"/>
          <w:lang w:val="es-ES_tradnl"/>
        </w:rPr>
        <w:t>adscripción de personal</w:t>
      </w:r>
      <w:r w:rsidRPr="001652BE">
        <w:rPr>
          <w:rFonts w:asciiTheme="minorBidi" w:hAnsiTheme="minorBidi" w:cstheme="minorBidi"/>
          <w:sz w:val="22"/>
          <w:szCs w:val="22"/>
          <w:lang w:val="es-ES_tradnl"/>
        </w:rPr>
        <w:t xml:space="preserve"> y a los acuerdos </w:t>
      </w:r>
      <w:r w:rsidR="00A45978" w:rsidRPr="001652BE">
        <w:rPr>
          <w:rFonts w:asciiTheme="minorBidi" w:hAnsiTheme="minorBidi" w:cstheme="minorBidi"/>
          <w:sz w:val="22"/>
          <w:szCs w:val="22"/>
          <w:lang w:val="es-ES_tradnl"/>
        </w:rPr>
        <w:t>de participación</w:t>
      </w:r>
      <w:r w:rsidRPr="001652BE">
        <w:rPr>
          <w:rFonts w:asciiTheme="minorBidi" w:hAnsiTheme="minorBidi" w:cstheme="minorBidi"/>
          <w:sz w:val="22"/>
          <w:szCs w:val="22"/>
          <w:lang w:val="es-ES_tradnl"/>
        </w:rPr>
        <w:t xml:space="preserve"> </w:t>
      </w:r>
      <w:r w:rsidR="00A45978" w:rsidRPr="001652BE">
        <w:rPr>
          <w:rFonts w:asciiTheme="minorBidi" w:hAnsiTheme="minorBidi" w:cstheme="minorBidi"/>
          <w:sz w:val="22"/>
          <w:szCs w:val="22"/>
          <w:lang w:val="es-ES_tradnl"/>
        </w:rPr>
        <w:t xml:space="preserve">concertados </w:t>
      </w:r>
      <w:r w:rsidRPr="001652BE">
        <w:rPr>
          <w:rFonts w:asciiTheme="minorBidi" w:hAnsiTheme="minorBidi" w:cstheme="minorBidi"/>
          <w:sz w:val="22"/>
          <w:szCs w:val="22"/>
          <w:lang w:val="es-ES_tradnl"/>
        </w:rPr>
        <w:t>con la Oficina de Coordinación del Decenio del Océano para África,</w:t>
      </w:r>
    </w:p>
    <w:p w14:paraId="5C0EBAB7" w14:textId="196B81A3" w:rsidR="00DD049A" w:rsidRPr="001652BE" w:rsidRDefault="00B90E4D" w:rsidP="000928C2">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Tomando nota con gran preocupación</w:t>
      </w:r>
      <w:r w:rsidRPr="001652BE">
        <w:rPr>
          <w:rFonts w:asciiTheme="minorBidi" w:hAnsiTheme="minorBidi" w:cstheme="minorBidi"/>
          <w:sz w:val="22"/>
          <w:szCs w:val="22"/>
          <w:lang w:val="es-ES_tradnl"/>
        </w:rPr>
        <w:t xml:space="preserve"> de la congelación temporal de las asignaciones y actividades presupuestarias de IOCAFRICA en el marco de las actuales medidas de gestión responsable de la UNESCO, y </w:t>
      </w:r>
      <w:r w:rsidRPr="001652BE">
        <w:rPr>
          <w:rFonts w:asciiTheme="minorBidi" w:hAnsiTheme="minorBidi" w:cstheme="minorBidi"/>
          <w:b/>
          <w:bCs/>
          <w:sz w:val="22"/>
          <w:szCs w:val="22"/>
          <w:lang w:val="es-ES_tradnl"/>
        </w:rPr>
        <w:t>reconociendo</w:t>
      </w:r>
      <w:r w:rsidRPr="001652BE">
        <w:rPr>
          <w:rFonts w:asciiTheme="minorBidi" w:hAnsiTheme="minorBidi" w:cstheme="minorBidi"/>
          <w:sz w:val="22"/>
          <w:szCs w:val="22"/>
          <w:lang w:val="es-ES_tradnl"/>
        </w:rPr>
        <w:t xml:space="preserve"> las repercusiones negativas de dichas medidas en la continuidad del programa y el apoyo regional,</w:t>
      </w:r>
    </w:p>
    <w:p w14:paraId="6C9F4B86" w14:textId="1CEBEFE8" w:rsidR="00061735" w:rsidRPr="001652BE" w:rsidRDefault="00061735"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Tomando nota</w:t>
      </w:r>
      <w:r w:rsidR="00A84C0B" w:rsidRPr="001652BE">
        <w:rPr>
          <w:rFonts w:asciiTheme="minorBidi" w:hAnsiTheme="minorBidi" w:cstheme="minorBidi"/>
          <w:b/>
          <w:bCs/>
          <w:sz w:val="22"/>
          <w:szCs w:val="22"/>
          <w:lang w:val="es-ES_tradnl"/>
        </w:rPr>
        <w:t xml:space="preserve"> además</w:t>
      </w:r>
      <w:r w:rsidRPr="001652BE">
        <w:rPr>
          <w:rFonts w:asciiTheme="minorBidi" w:hAnsiTheme="minorBidi" w:cstheme="minorBidi"/>
          <w:sz w:val="22"/>
          <w:szCs w:val="22"/>
          <w:lang w:val="es-ES_tradnl"/>
        </w:rPr>
        <w:t xml:space="preserve"> de la necesidad de reforzar la plantilla de la Secretaría de IOCAFRICA mediante la consolidación de un equipo dotado de las cualificaciones y la experiencia adecuadas a fin de asegurar una capacidad efectiva para la ejecución técnica del programa, la movilización de recursos y </w:t>
      </w:r>
      <w:r w:rsidR="00A45978" w:rsidRPr="001652BE">
        <w:rPr>
          <w:rFonts w:asciiTheme="minorBidi" w:hAnsiTheme="minorBidi" w:cstheme="minorBidi"/>
          <w:sz w:val="22"/>
          <w:szCs w:val="22"/>
          <w:lang w:val="es-ES_tradnl"/>
        </w:rPr>
        <w:t xml:space="preserve">la gestión de </w:t>
      </w:r>
      <w:r w:rsidRPr="001652BE">
        <w:rPr>
          <w:rFonts w:asciiTheme="minorBidi" w:hAnsiTheme="minorBidi" w:cstheme="minorBidi"/>
          <w:sz w:val="22"/>
          <w:szCs w:val="22"/>
          <w:lang w:val="es-ES_tradnl"/>
        </w:rPr>
        <w:t>los donantes, la divulgación y la participación, así como una serie de funciones operacionales y administrativas,</w:t>
      </w:r>
    </w:p>
    <w:p w14:paraId="36028184" w14:textId="227AEC19" w:rsidR="00807CA8" w:rsidRPr="001652BE" w:rsidRDefault="00807CA8"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Pide</w:t>
      </w:r>
      <w:r w:rsidRPr="001652BE">
        <w:rPr>
          <w:rFonts w:asciiTheme="minorBidi" w:hAnsiTheme="minorBidi" w:cstheme="minorBidi"/>
          <w:sz w:val="22"/>
          <w:szCs w:val="22"/>
          <w:lang w:val="es-ES_tradnl"/>
        </w:rPr>
        <w:t xml:space="preserve"> al Secretario Ejecutivo de la COI que </w:t>
      </w:r>
      <w:r w:rsidR="00A45978" w:rsidRPr="001652BE">
        <w:rPr>
          <w:rFonts w:asciiTheme="minorBidi" w:hAnsiTheme="minorBidi" w:cstheme="minorBidi"/>
          <w:sz w:val="22"/>
          <w:szCs w:val="22"/>
          <w:lang w:val="es-ES_tradnl"/>
        </w:rPr>
        <w:t>lleve a cabo</w:t>
      </w:r>
      <w:r w:rsidRPr="001652BE">
        <w:rPr>
          <w:rFonts w:asciiTheme="minorBidi" w:hAnsiTheme="minorBidi" w:cstheme="minorBidi"/>
          <w:sz w:val="22"/>
          <w:szCs w:val="22"/>
          <w:lang w:val="es-ES_tradnl"/>
        </w:rPr>
        <w:t xml:space="preserve"> un análisis presupuestado de distintas hipótesis con miras a determinar la dotación óptima de personal de las secretarías de las subcomisiones regionales</w:t>
      </w:r>
      <w:r w:rsidR="00A45978" w:rsidRPr="001652BE">
        <w:rPr>
          <w:rFonts w:asciiTheme="minorBidi" w:hAnsiTheme="minorBidi" w:cstheme="minorBidi"/>
          <w:sz w:val="22"/>
          <w:szCs w:val="22"/>
          <w:lang w:val="es-ES_tradnl"/>
        </w:rPr>
        <w:t xml:space="preserve"> en el futuro</w:t>
      </w:r>
      <w:r w:rsidRPr="001652BE">
        <w:rPr>
          <w:rFonts w:asciiTheme="minorBidi" w:hAnsiTheme="minorBidi" w:cstheme="minorBidi"/>
          <w:sz w:val="22"/>
          <w:szCs w:val="22"/>
          <w:lang w:val="es-ES_tradnl"/>
        </w:rPr>
        <w:t xml:space="preserve">, a fin de garantizar una ejecución eficaz del programa en consonancia con la Estrategia a Plazo Medio de la COI (2022-2029) (IOC/INF-1412) y la prioridad global </w:t>
      </w:r>
      <w:r w:rsidR="002310F7"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África</w:t>
      </w:r>
      <w:r w:rsidR="002310F7"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 xml:space="preserve"> y el grupo prioritario </w:t>
      </w:r>
      <w:r w:rsidR="002310F7"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PEID</w:t>
      </w:r>
      <w:r w:rsidR="002310F7"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 teniendo en cuenta las recomendaciones</w:t>
      </w:r>
      <w:r w:rsidR="00BB4FD9" w:rsidRPr="001652BE">
        <w:rPr>
          <w:rFonts w:asciiTheme="minorBidi" w:hAnsiTheme="minorBidi" w:cstheme="minorBidi"/>
          <w:sz w:val="22"/>
          <w:szCs w:val="22"/>
          <w:lang w:val="es-ES_tradnl"/>
        </w:rPr>
        <w:t xml:space="preserve"> dimanantes</w:t>
      </w:r>
      <w:r w:rsidRPr="001652BE">
        <w:rPr>
          <w:rFonts w:asciiTheme="minorBidi" w:hAnsiTheme="minorBidi" w:cstheme="minorBidi"/>
          <w:sz w:val="22"/>
          <w:szCs w:val="22"/>
          <w:lang w:val="es-ES_tradnl"/>
        </w:rPr>
        <w:t xml:space="preserve"> de la evaluación de mitad de periodo del Decenio del Océano y los resultados del proceso de consulta </w:t>
      </w:r>
      <w:r w:rsidR="002310F7"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La COI y el futuro del océano</w:t>
      </w:r>
      <w:r w:rsidR="002310F7"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 y que presente ese análisis al Consejo Ejecutivo en su 59ª reunión;</w:t>
      </w:r>
    </w:p>
    <w:p w14:paraId="2E0B01A8" w14:textId="4E044AC7" w:rsidR="004D6A2C" w:rsidRPr="001652BE" w:rsidRDefault="00A866AA" w:rsidP="000928C2">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Pide también</w:t>
      </w:r>
      <w:r w:rsidRPr="001652BE">
        <w:rPr>
          <w:rFonts w:asciiTheme="minorBidi" w:hAnsiTheme="minorBidi" w:cstheme="minorBidi"/>
          <w:sz w:val="22"/>
          <w:szCs w:val="22"/>
          <w:lang w:val="es-ES_tradnl"/>
        </w:rPr>
        <w:t xml:space="preserve"> al Secretario Ejecutivo de la COI que estudie opciones para:</w:t>
      </w:r>
    </w:p>
    <w:p w14:paraId="5950DBFA" w14:textId="32B046FB" w:rsidR="0092035F" w:rsidRPr="001652BE" w:rsidRDefault="0092035F" w:rsidP="00DB4C5A">
      <w:pPr>
        <w:pStyle w:val="Prrafodelista"/>
        <w:numPr>
          <w:ilvl w:val="0"/>
          <w:numId w:val="10"/>
        </w:numPr>
        <w:tabs>
          <w:tab w:val="clear" w:pos="567"/>
        </w:tabs>
        <w:snapToGrid/>
        <w:spacing w:after="120" w:line="360" w:lineRule="auto"/>
        <w:contextualSpacing w:val="0"/>
        <w:jc w:val="both"/>
        <w:rPr>
          <w:rFonts w:asciiTheme="minorBidi" w:eastAsiaTheme="minorEastAsia" w:hAnsiTheme="minorBidi" w:cstheme="minorBidi"/>
          <w:sz w:val="22"/>
          <w:szCs w:val="22"/>
          <w:lang w:val="es-ES_tradnl"/>
        </w:rPr>
      </w:pPr>
      <w:r w:rsidRPr="001652BE">
        <w:rPr>
          <w:rFonts w:asciiTheme="minorBidi" w:hAnsiTheme="minorBidi" w:cstheme="minorBidi"/>
          <w:sz w:val="22"/>
          <w:szCs w:val="22"/>
          <w:lang w:val="es-ES_tradnl"/>
        </w:rPr>
        <w:t xml:space="preserve">integrar de forma oficial en el presupuesto ordinario los puestos del Cuadro de Servicios Generales </w:t>
      </w:r>
      <w:r w:rsidR="00DB4C5A" w:rsidRPr="001652BE">
        <w:rPr>
          <w:rFonts w:asciiTheme="minorBidi" w:hAnsiTheme="minorBidi" w:cstheme="minorBidi"/>
          <w:sz w:val="22"/>
          <w:szCs w:val="22"/>
          <w:lang w:val="es-ES_tradnl"/>
        </w:rPr>
        <w:t>de</w:t>
      </w:r>
      <w:r w:rsidRPr="001652BE">
        <w:rPr>
          <w:rFonts w:asciiTheme="minorBidi" w:hAnsiTheme="minorBidi" w:cstheme="minorBidi"/>
          <w:sz w:val="22"/>
          <w:szCs w:val="22"/>
          <w:lang w:val="es-ES_tradnl"/>
        </w:rPr>
        <w:t xml:space="preserve"> la Secretaría de IOCAFRICA;</w:t>
      </w:r>
    </w:p>
    <w:p w14:paraId="56469868" w14:textId="69BD1420" w:rsidR="0092035F" w:rsidRPr="001652BE" w:rsidRDefault="00E52DB2" w:rsidP="000928C2">
      <w:pPr>
        <w:pStyle w:val="Prrafodelista"/>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s-ES_tradnl"/>
        </w:rPr>
      </w:pPr>
      <w:r w:rsidRPr="001652BE">
        <w:rPr>
          <w:rFonts w:asciiTheme="minorBidi" w:hAnsiTheme="minorBidi" w:cstheme="minorBidi"/>
          <w:sz w:val="22"/>
          <w:szCs w:val="22"/>
          <w:lang w:val="es-ES_tradnl"/>
        </w:rPr>
        <w:t>movilizar recursos adicionales, comprendidos fondos extrapresupuestarios y acuerdos de financiación conjunta, así como alianzas en materia de recursos humanos</w:t>
      </w:r>
      <w:r w:rsidR="00BB4FD9" w:rsidRPr="001652BE">
        <w:rPr>
          <w:rFonts w:asciiTheme="minorBidi" w:hAnsiTheme="minorBidi" w:cstheme="minorBidi"/>
          <w:sz w:val="22"/>
          <w:szCs w:val="22"/>
          <w:lang w:val="es-ES_tradnl"/>
        </w:rPr>
        <w:t>,</w:t>
      </w:r>
      <w:r w:rsidRPr="001652BE">
        <w:rPr>
          <w:rFonts w:asciiTheme="minorBidi" w:hAnsiTheme="minorBidi" w:cstheme="minorBidi"/>
          <w:sz w:val="22"/>
          <w:szCs w:val="22"/>
          <w:lang w:val="es-ES_tradnl"/>
        </w:rPr>
        <w:t xml:space="preserve"> para apoyar los puestos de personal esencial;</w:t>
      </w:r>
    </w:p>
    <w:p w14:paraId="40F76661" w14:textId="5CD15D0F" w:rsidR="00DD049A" w:rsidRPr="001652BE" w:rsidRDefault="00E52DB2" w:rsidP="000928C2">
      <w:pPr>
        <w:pStyle w:val="Prrafodelista"/>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s-ES_tradnl"/>
        </w:rPr>
      </w:pPr>
      <w:r w:rsidRPr="001652BE">
        <w:rPr>
          <w:rFonts w:asciiTheme="minorBidi" w:hAnsiTheme="minorBidi" w:cstheme="minorBidi"/>
          <w:sz w:val="22"/>
          <w:szCs w:val="22"/>
          <w:lang w:val="es-ES_tradnl"/>
        </w:rPr>
        <w:t xml:space="preserve">proporcionar una financiación óptima para </w:t>
      </w:r>
      <w:r w:rsidR="00BB4FD9" w:rsidRPr="001652BE">
        <w:rPr>
          <w:rFonts w:asciiTheme="minorBidi" w:hAnsiTheme="minorBidi" w:cstheme="minorBidi"/>
          <w:sz w:val="22"/>
          <w:szCs w:val="22"/>
          <w:lang w:val="es-ES_tradnl"/>
        </w:rPr>
        <w:t>el</w:t>
      </w:r>
      <w:r w:rsidRPr="001652BE">
        <w:rPr>
          <w:rFonts w:asciiTheme="minorBidi" w:hAnsiTheme="minorBidi" w:cstheme="minorBidi"/>
          <w:sz w:val="22"/>
          <w:szCs w:val="22"/>
          <w:lang w:val="es-ES_tradnl"/>
        </w:rPr>
        <w:t xml:space="preserve"> funcionamiento de la oficina y las actividades del programa; y</w:t>
      </w:r>
    </w:p>
    <w:p w14:paraId="202A852E" w14:textId="0D62088B" w:rsidR="00E52DB2" w:rsidRPr="001652BE" w:rsidRDefault="00DB4C5A" w:rsidP="000928C2">
      <w:pPr>
        <w:pStyle w:val="Prrafodelista"/>
        <w:numPr>
          <w:ilvl w:val="0"/>
          <w:numId w:val="10"/>
        </w:numPr>
        <w:tabs>
          <w:tab w:val="clear" w:pos="567"/>
        </w:tabs>
        <w:snapToGrid/>
        <w:spacing w:after="120" w:line="360" w:lineRule="auto"/>
        <w:ind w:left="567" w:hanging="567"/>
        <w:contextualSpacing w:val="0"/>
        <w:jc w:val="both"/>
        <w:rPr>
          <w:rFonts w:asciiTheme="minorBidi" w:eastAsiaTheme="minorEastAsia" w:hAnsiTheme="minorBidi" w:cstheme="minorBidi"/>
          <w:sz w:val="22"/>
          <w:szCs w:val="22"/>
          <w:lang w:val="es-ES_tradnl"/>
        </w:rPr>
      </w:pPr>
      <w:r w:rsidRPr="001652BE">
        <w:rPr>
          <w:rFonts w:asciiTheme="minorBidi" w:hAnsiTheme="minorBidi" w:cstheme="minorBidi"/>
          <w:sz w:val="22"/>
          <w:szCs w:val="22"/>
          <w:lang w:val="es-ES_tradnl"/>
        </w:rPr>
        <w:t>velar por que</w:t>
      </w:r>
      <w:r w:rsidR="00E52DB2" w:rsidRPr="001652BE">
        <w:rPr>
          <w:rFonts w:asciiTheme="minorBidi" w:hAnsiTheme="minorBidi" w:cstheme="minorBidi"/>
          <w:sz w:val="22"/>
          <w:szCs w:val="22"/>
          <w:lang w:val="es-ES_tradnl"/>
        </w:rPr>
        <w:t xml:space="preserve"> el presupuesto operacional de la Secretaría de IOCAFRICA </w:t>
      </w:r>
      <w:r w:rsidR="00923DD2" w:rsidRPr="001652BE">
        <w:rPr>
          <w:rFonts w:asciiTheme="minorBidi" w:hAnsiTheme="minorBidi" w:cstheme="minorBidi"/>
          <w:sz w:val="22"/>
          <w:szCs w:val="22"/>
          <w:lang w:val="es-ES_tradnl"/>
        </w:rPr>
        <w:t xml:space="preserve">se considere prioritario </w:t>
      </w:r>
      <w:r w:rsidR="00E52DB2" w:rsidRPr="001652BE">
        <w:rPr>
          <w:rFonts w:asciiTheme="minorBidi" w:hAnsiTheme="minorBidi" w:cstheme="minorBidi"/>
          <w:sz w:val="22"/>
          <w:szCs w:val="22"/>
          <w:lang w:val="es-ES_tradnl"/>
        </w:rPr>
        <w:t xml:space="preserve">en todas las hipótesis presupuestarias, teniendo en cuenta que África es una prioridad global de la UNESCO; </w:t>
      </w:r>
    </w:p>
    <w:p w14:paraId="6D45F5DE" w14:textId="76145FD7" w:rsidR="004D6A2C" w:rsidRPr="001652BE" w:rsidRDefault="004D6A2C" w:rsidP="000928C2">
      <w:pPr>
        <w:pStyle w:val="Prrafodelista"/>
        <w:numPr>
          <w:ilvl w:val="0"/>
          <w:numId w:val="7"/>
        </w:numPr>
        <w:spacing w:after="120" w:line="360" w:lineRule="auto"/>
        <w:ind w:left="0" w:hanging="567"/>
        <w:contextualSpacing w:val="0"/>
        <w:jc w:val="both"/>
        <w:rPr>
          <w:rFonts w:asciiTheme="minorBidi" w:eastAsiaTheme="minorEastAsia" w:hAnsiTheme="minorBidi" w:cstheme="minorBidi"/>
          <w:sz w:val="22"/>
          <w:szCs w:val="22"/>
          <w:lang w:val="es-ES_tradnl"/>
        </w:rPr>
      </w:pPr>
      <w:r w:rsidRPr="001652BE">
        <w:rPr>
          <w:rFonts w:asciiTheme="minorBidi" w:hAnsiTheme="minorBidi" w:cstheme="minorBidi"/>
          <w:b/>
          <w:bCs/>
          <w:sz w:val="22"/>
          <w:szCs w:val="22"/>
          <w:lang w:val="es-ES_tradnl"/>
        </w:rPr>
        <w:t>Insta</w:t>
      </w:r>
      <w:r w:rsidRPr="001652BE">
        <w:rPr>
          <w:rFonts w:asciiTheme="minorBidi" w:hAnsiTheme="minorBidi" w:cstheme="minorBidi"/>
          <w:sz w:val="22"/>
          <w:szCs w:val="22"/>
          <w:lang w:val="es-ES_tradnl"/>
        </w:rPr>
        <w:t xml:space="preserve"> a los Estados Miembros de la COI, especialmente a los Estados Miembros de IOCAFRICA, a que aumenten sus contribuciones voluntarias y</w:t>
      </w:r>
      <w:r w:rsidR="00923DD2" w:rsidRPr="001652BE">
        <w:rPr>
          <w:rFonts w:asciiTheme="minorBidi" w:hAnsiTheme="minorBidi" w:cstheme="minorBidi"/>
          <w:sz w:val="22"/>
          <w:szCs w:val="22"/>
          <w:lang w:val="es-ES_tradnl"/>
        </w:rPr>
        <w:t xml:space="preserve"> </w:t>
      </w:r>
      <w:r w:rsidRPr="001652BE">
        <w:rPr>
          <w:rFonts w:asciiTheme="minorBidi" w:hAnsiTheme="minorBidi" w:cstheme="minorBidi"/>
          <w:sz w:val="22"/>
          <w:szCs w:val="22"/>
          <w:lang w:val="es-ES_tradnl"/>
        </w:rPr>
        <w:t xml:space="preserve">en especie </w:t>
      </w:r>
      <w:r w:rsidR="00BB4FD9" w:rsidRPr="001652BE">
        <w:rPr>
          <w:rFonts w:asciiTheme="minorBidi" w:hAnsiTheme="minorBidi" w:cstheme="minorBidi"/>
          <w:sz w:val="22"/>
          <w:szCs w:val="22"/>
          <w:lang w:val="es-ES_tradnl"/>
        </w:rPr>
        <w:t>en apoyo de</w:t>
      </w:r>
      <w:r w:rsidRPr="001652BE">
        <w:rPr>
          <w:rFonts w:asciiTheme="minorBidi" w:hAnsiTheme="minorBidi" w:cstheme="minorBidi"/>
          <w:sz w:val="22"/>
          <w:szCs w:val="22"/>
          <w:lang w:val="es-ES_tradnl"/>
        </w:rPr>
        <w:t xml:space="preserve"> IOCAFRICA, comprendida la adscripción y el préstamo de personal técnico y administrativo, y las contribuciones financieras destinadas al fortalecimiento de la Secretaría;</w:t>
      </w:r>
    </w:p>
    <w:p w14:paraId="1BE707F9" w14:textId="75C22EAA" w:rsidR="00733A53" w:rsidRPr="001652BE" w:rsidRDefault="002E03E9"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lastRenderedPageBreak/>
        <w:t>Alienta</w:t>
      </w:r>
      <w:r w:rsidRPr="001652BE">
        <w:rPr>
          <w:rFonts w:asciiTheme="minorBidi" w:hAnsiTheme="minorBidi" w:cstheme="minorBidi"/>
          <w:sz w:val="22"/>
          <w:szCs w:val="22"/>
          <w:lang w:val="es-ES_tradnl"/>
        </w:rPr>
        <w:t xml:space="preserve"> a que se estreche la colaboración con asociados estratégicos, comunidades económicas regionales y organismos de desarrollo para crear puestos de apoyo técnico y programático financiados conjuntamente;</w:t>
      </w:r>
    </w:p>
    <w:p w14:paraId="71080706" w14:textId="3585185C" w:rsidR="007F4DC0" w:rsidRPr="001652BE" w:rsidRDefault="007F4DC0"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Reconociendo</w:t>
      </w:r>
      <w:r w:rsidRPr="001652BE">
        <w:rPr>
          <w:rFonts w:asciiTheme="minorBidi" w:hAnsiTheme="minorBidi" w:cstheme="minorBidi"/>
          <w:sz w:val="22"/>
          <w:szCs w:val="22"/>
          <w:lang w:val="es-ES_tradnl"/>
        </w:rPr>
        <w:t xml:space="preserve"> la importancia de disponer de una base de financiación estable para que IOCAFRICA pueda cumplir eficazmente su doble mandato de mecanismo de coordinación regional de la COI y Oficina de Coordinación del Decenio del Océano para África,</w:t>
      </w:r>
    </w:p>
    <w:p w14:paraId="59092DB3" w14:textId="63B7B4D6" w:rsidR="008871E8" w:rsidRPr="001652BE" w:rsidRDefault="00C17960" w:rsidP="000928C2">
      <w:pPr>
        <w:pStyle w:val="Prrafodelista"/>
        <w:numPr>
          <w:ilvl w:val="0"/>
          <w:numId w:val="7"/>
        </w:numPr>
        <w:spacing w:after="120" w:line="360" w:lineRule="auto"/>
        <w:ind w:left="0" w:hanging="567"/>
        <w:contextualSpacing w:val="0"/>
        <w:jc w:val="both"/>
        <w:rPr>
          <w:rFonts w:asciiTheme="minorBidi" w:hAnsiTheme="minorBidi" w:cstheme="minorBidi"/>
          <w:sz w:val="22"/>
          <w:szCs w:val="22"/>
          <w:lang w:val="es-ES_tradnl"/>
        </w:rPr>
      </w:pPr>
      <w:r w:rsidRPr="001652BE">
        <w:rPr>
          <w:rFonts w:asciiTheme="minorBidi" w:hAnsiTheme="minorBidi" w:cstheme="minorBidi"/>
          <w:b/>
          <w:bCs/>
          <w:sz w:val="22"/>
          <w:szCs w:val="22"/>
          <w:lang w:val="es-ES_tradnl"/>
        </w:rPr>
        <w:t>Pide además</w:t>
      </w:r>
      <w:r w:rsidRPr="001652BE">
        <w:rPr>
          <w:rFonts w:asciiTheme="minorBidi" w:hAnsiTheme="minorBidi" w:cstheme="minorBidi"/>
          <w:sz w:val="22"/>
          <w:szCs w:val="22"/>
          <w:lang w:val="es-ES_tradnl"/>
        </w:rPr>
        <w:t xml:space="preserve"> al Secretario Ejecutivo de la COI que, en consulta con la Mesa de IOCAFRICA, estudie:</w:t>
      </w:r>
    </w:p>
    <w:p w14:paraId="00899A7F" w14:textId="211A4249" w:rsidR="008871E8" w:rsidRPr="001652BE" w:rsidRDefault="007F4DC0" w:rsidP="002310F7">
      <w:pPr>
        <w:pStyle w:val="Prrafodelista"/>
        <w:numPr>
          <w:ilvl w:val="0"/>
          <w:numId w:val="16"/>
        </w:numPr>
        <w:spacing w:after="120" w:line="360" w:lineRule="auto"/>
        <w:ind w:left="567" w:hanging="567"/>
        <w:contextualSpacing w:val="0"/>
        <w:jc w:val="both"/>
        <w:rPr>
          <w:rFonts w:asciiTheme="minorBidi" w:hAnsiTheme="minorBidi" w:cstheme="minorBidi"/>
          <w:sz w:val="22"/>
          <w:szCs w:val="22"/>
          <w:lang w:val="es-ES_tradnl"/>
        </w:rPr>
      </w:pPr>
      <w:r w:rsidRPr="001652BE">
        <w:rPr>
          <w:rFonts w:asciiTheme="minorBidi" w:hAnsiTheme="minorBidi" w:cstheme="minorBidi"/>
          <w:sz w:val="22"/>
          <w:szCs w:val="22"/>
          <w:lang w:val="es-ES_tradnl"/>
        </w:rPr>
        <w:t xml:space="preserve">una propuesta </w:t>
      </w:r>
      <w:r w:rsidR="00923DD2" w:rsidRPr="001652BE">
        <w:rPr>
          <w:rFonts w:asciiTheme="minorBidi" w:hAnsiTheme="minorBidi" w:cstheme="minorBidi"/>
          <w:sz w:val="22"/>
          <w:szCs w:val="22"/>
          <w:lang w:val="es-ES_tradnl"/>
        </w:rPr>
        <w:t>relativa a</w:t>
      </w:r>
      <w:r w:rsidRPr="001652BE">
        <w:rPr>
          <w:rFonts w:asciiTheme="minorBidi" w:hAnsiTheme="minorBidi" w:cstheme="minorBidi"/>
          <w:sz w:val="22"/>
          <w:szCs w:val="22"/>
          <w:lang w:val="es-ES_tradnl"/>
        </w:rPr>
        <w:t xml:space="preserve"> un fondo de apoyo a IOCAFRICA específico con cargo a la Cuenta Especial de la COI, que se presentará al Consejo Ejecutivo de la COI en su 59ª reunión; y</w:t>
      </w:r>
    </w:p>
    <w:p w14:paraId="5C0265FE" w14:textId="5EBD6D42" w:rsidR="007F4DC0" w:rsidRPr="001652BE" w:rsidRDefault="007F4DC0" w:rsidP="000928C2">
      <w:pPr>
        <w:pStyle w:val="Prrafodelista"/>
        <w:numPr>
          <w:ilvl w:val="0"/>
          <w:numId w:val="16"/>
        </w:numPr>
        <w:spacing w:after="120" w:line="360" w:lineRule="auto"/>
        <w:ind w:left="567" w:hanging="567"/>
        <w:contextualSpacing w:val="0"/>
        <w:jc w:val="both"/>
        <w:rPr>
          <w:rFonts w:asciiTheme="minorBidi" w:hAnsiTheme="minorBidi" w:cstheme="minorBidi"/>
          <w:sz w:val="22"/>
          <w:szCs w:val="22"/>
          <w:lang w:val="es-ES_tradnl"/>
        </w:rPr>
      </w:pPr>
      <w:r w:rsidRPr="001652BE">
        <w:rPr>
          <w:rFonts w:asciiTheme="minorBidi" w:hAnsiTheme="minorBidi" w:cstheme="minorBidi"/>
          <w:sz w:val="22"/>
          <w:szCs w:val="22"/>
          <w:lang w:val="es-ES_tradnl"/>
        </w:rPr>
        <w:t>las oportunidades que ofrece el artículo 10.4 de los Estatutos de la Comisión, como el establecimiento de mecanismos financieros para fines especiales o acuerdos de participación en la financiación de los gastos con los Estados Miembros donantes, y que presente una propuesta a la Asamblea de la COI en su 34ª reunión;</w:t>
      </w:r>
    </w:p>
    <w:p w14:paraId="332781AA" w14:textId="40CB502F" w:rsidR="0052525E" w:rsidRPr="001652BE" w:rsidRDefault="00361A7F" w:rsidP="002310F7">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Exhorta</w:t>
      </w:r>
      <w:r w:rsidRPr="001652BE">
        <w:rPr>
          <w:rFonts w:asciiTheme="minorBidi" w:hAnsiTheme="minorBidi" w:cstheme="minorBidi"/>
          <w:sz w:val="22"/>
          <w:szCs w:val="22"/>
          <w:lang w:val="es-ES_tradnl"/>
        </w:rPr>
        <w:t xml:space="preserve"> a las oficinas fuera de la Sede y los centros de categoría 2 de la UNESCO </w:t>
      </w:r>
      <w:r w:rsidR="00923DD2" w:rsidRPr="001652BE">
        <w:rPr>
          <w:rFonts w:asciiTheme="minorBidi" w:hAnsiTheme="minorBidi" w:cstheme="minorBidi"/>
          <w:sz w:val="22"/>
          <w:szCs w:val="22"/>
          <w:lang w:val="es-ES_tradnl"/>
        </w:rPr>
        <w:t>de</w:t>
      </w:r>
      <w:r w:rsidRPr="001652BE">
        <w:rPr>
          <w:rFonts w:asciiTheme="minorBidi" w:hAnsiTheme="minorBidi" w:cstheme="minorBidi"/>
          <w:sz w:val="22"/>
          <w:szCs w:val="22"/>
          <w:lang w:val="es-ES_tradnl"/>
        </w:rPr>
        <w:t xml:space="preserve"> África a que ajusten sus marcos de cooperación técnica a las prioridades y necesidades de personal de IOCAFRICA, posibilitando la asistencia técnica mancomunada cuando sea factible;</w:t>
      </w:r>
    </w:p>
    <w:p w14:paraId="3BB30354" w14:textId="36C86236" w:rsidR="00A84C0B" w:rsidRPr="001652BE" w:rsidRDefault="00A84C0B" w:rsidP="003C3CE4">
      <w:pPr>
        <w:pStyle w:val="NormalWeb"/>
        <w:numPr>
          <w:ilvl w:val="0"/>
          <w:numId w:val="7"/>
        </w:numPr>
        <w:spacing w:after="120" w:afterAutospacing="0" w:line="360" w:lineRule="auto"/>
        <w:ind w:left="0" w:hanging="567"/>
        <w:jc w:val="both"/>
        <w:rPr>
          <w:rFonts w:asciiTheme="minorBidi" w:hAnsiTheme="minorBidi" w:cstheme="minorBidi"/>
          <w:bCs/>
          <w:sz w:val="22"/>
          <w:szCs w:val="22"/>
          <w:lang w:val="es-ES_tradnl"/>
        </w:rPr>
      </w:pPr>
      <w:r w:rsidRPr="001652BE">
        <w:rPr>
          <w:rFonts w:asciiTheme="minorBidi" w:hAnsiTheme="minorBidi" w:cstheme="minorBidi"/>
          <w:b/>
          <w:bCs/>
          <w:sz w:val="22"/>
          <w:szCs w:val="22"/>
          <w:lang w:val="es-ES_tradnl"/>
        </w:rPr>
        <w:t>Recordando</w:t>
      </w:r>
      <w:r w:rsidRPr="001652BE">
        <w:rPr>
          <w:rFonts w:asciiTheme="minorBidi" w:hAnsiTheme="minorBidi" w:cstheme="minorBidi"/>
          <w:sz w:val="22"/>
          <w:szCs w:val="22"/>
          <w:lang w:val="es-ES_tradnl"/>
        </w:rPr>
        <w:t xml:space="preserve"> la designación de África como prioridad global y</w:t>
      </w:r>
      <w:r w:rsidR="003C3CE4" w:rsidRPr="001652BE">
        <w:rPr>
          <w:rFonts w:asciiTheme="minorBidi" w:hAnsiTheme="minorBidi" w:cstheme="minorBidi"/>
          <w:sz w:val="22"/>
          <w:szCs w:val="22"/>
          <w:lang w:val="es-ES_tradnl"/>
        </w:rPr>
        <w:t xml:space="preserve"> la decisión adoptada por los Estados Miembros en la 216ª reunión del Consejo Ejecutivo de la UNESCO, refrendada por la Conferencia General de la UNESCO en la resolución de consignación de créditos correspondiente al 42 C/5, en virtud de la cual la proporción del presupuesto ordinario global de la UNESCO destinada a la COI debe seguir siendo como mínimo del 3 %,</w:t>
      </w:r>
    </w:p>
    <w:p w14:paraId="27348657" w14:textId="096DCB15" w:rsidR="005D56A6" w:rsidRPr="001652BE" w:rsidRDefault="003C3CE4" w:rsidP="003C3CE4">
      <w:pPr>
        <w:pStyle w:val="Prrafodelista"/>
        <w:numPr>
          <w:ilvl w:val="0"/>
          <w:numId w:val="7"/>
        </w:numPr>
        <w:spacing w:after="120" w:line="360" w:lineRule="auto"/>
        <w:ind w:left="0" w:hanging="567"/>
        <w:contextualSpacing w:val="0"/>
        <w:jc w:val="both"/>
        <w:rPr>
          <w:rFonts w:asciiTheme="minorBidi" w:hAnsiTheme="minorBidi" w:cstheme="minorBidi"/>
          <w:bCs/>
          <w:sz w:val="22"/>
          <w:szCs w:val="22"/>
          <w:lang w:val="es-ES_tradnl"/>
        </w:rPr>
      </w:pPr>
      <w:r w:rsidRPr="001652BE">
        <w:rPr>
          <w:rFonts w:asciiTheme="minorBidi" w:hAnsiTheme="minorBidi" w:cstheme="minorBidi"/>
          <w:b/>
          <w:sz w:val="22"/>
          <w:szCs w:val="22"/>
          <w:lang w:val="es-ES_tradnl"/>
        </w:rPr>
        <w:t>Insta</w:t>
      </w:r>
      <w:r w:rsidRPr="001652BE">
        <w:rPr>
          <w:rFonts w:asciiTheme="minorBidi" w:hAnsiTheme="minorBidi" w:cstheme="minorBidi"/>
          <w:bCs/>
          <w:sz w:val="22"/>
          <w:szCs w:val="22"/>
          <w:lang w:val="es-ES_tradnl"/>
        </w:rPr>
        <w:t xml:space="preserve"> a</w:t>
      </w:r>
      <w:r w:rsidR="005D56A6" w:rsidRPr="001652BE">
        <w:rPr>
          <w:rFonts w:asciiTheme="minorBidi" w:hAnsiTheme="minorBidi" w:cstheme="minorBidi"/>
          <w:sz w:val="22"/>
          <w:szCs w:val="22"/>
          <w:lang w:val="es-ES_tradnl"/>
        </w:rPr>
        <w:t xml:space="preserve"> la Directora General de la UNESCO </w:t>
      </w:r>
      <w:r w:rsidR="006E4FE1" w:rsidRPr="001652BE">
        <w:rPr>
          <w:rFonts w:asciiTheme="minorBidi" w:hAnsiTheme="minorBidi" w:cstheme="minorBidi"/>
          <w:sz w:val="22"/>
          <w:szCs w:val="22"/>
          <w:lang w:val="es-ES_tradnl"/>
        </w:rPr>
        <w:t xml:space="preserve">a </w:t>
      </w:r>
      <w:r w:rsidR="005D56A6" w:rsidRPr="001652BE">
        <w:rPr>
          <w:rFonts w:asciiTheme="minorBidi" w:hAnsiTheme="minorBidi" w:cstheme="minorBidi"/>
          <w:sz w:val="22"/>
          <w:szCs w:val="22"/>
          <w:lang w:val="es-ES_tradnl"/>
        </w:rPr>
        <w:t xml:space="preserve">que </w:t>
      </w:r>
      <w:r w:rsidRPr="001652BE">
        <w:rPr>
          <w:rFonts w:asciiTheme="minorBidi" w:hAnsiTheme="minorBidi" w:cstheme="minorBidi"/>
          <w:sz w:val="22"/>
          <w:szCs w:val="22"/>
          <w:lang w:val="es-ES_tradnl"/>
        </w:rPr>
        <w:t xml:space="preserve">adopte </w:t>
      </w:r>
      <w:r w:rsidR="005D56A6" w:rsidRPr="001652BE">
        <w:rPr>
          <w:rFonts w:asciiTheme="minorBidi" w:hAnsiTheme="minorBidi" w:cstheme="minorBidi"/>
          <w:sz w:val="22"/>
          <w:szCs w:val="22"/>
          <w:lang w:val="es-ES_tradnl"/>
        </w:rPr>
        <w:t xml:space="preserve">sin demora medidas de gestión </w:t>
      </w:r>
      <w:r w:rsidR="006E4FE1" w:rsidRPr="001652BE">
        <w:rPr>
          <w:rFonts w:asciiTheme="minorBidi" w:hAnsiTheme="minorBidi" w:cstheme="minorBidi"/>
          <w:sz w:val="22"/>
          <w:szCs w:val="22"/>
          <w:lang w:val="es-ES_tradnl"/>
        </w:rPr>
        <w:t xml:space="preserve">a fin de habilitar los fondos necesarios para </w:t>
      </w:r>
      <w:r w:rsidR="005D56A6" w:rsidRPr="001652BE">
        <w:rPr>
          <w:rFonts w:asciiTheme="minorBidi" w:hAnsiTheme="minorBidi" w:cstheme="minorBidi"/>
          <w:sz w:val="22"/>
          <w:szCs w:val="22"/>
          <w:lang w:val="es-ES_tradnl"/>
        </w:rPr>
        <w:t>concluir la ejecución de las actividades aprobadas de IOCAFRICA para el resto del bienio 2024</w:t>
      </w:r>
      <w:r w:rsidR="002310F7" w:rsidRPr="001652BE">
        <w:rPr>
          <w:rFonts w:asciiTheme="minorBidi" w:hAnsiTheme="minorBidi" w:cstheme="minorBidi"/>
          <w:sz w:val="22"/>
          <w:szCs w:val="22"/>
          <w:lang w:val="es-ES_tradnl"/>
        </w:rPr>
        <w:noBreakHyphen/>
      </w:r>
      <w:r w:rsidR="005D56A6" w:rsidRPr="001652BE">
        <w:rPr>
          <w:rFonts w:asciiTheme="minorBidi" w:hAnsiTheme="minorBidi" w:cstheme="minorBidi"/>
          <w:sz w:val="22"/>
          <w:szCs w:val="22"/>
          <w:lang w:val="es-ES_tradnl"/>
        </w:rPr>
        <w:t>2025.</w:t>
      </w:r>
    </w:p>
    <w:sectPr w:rsidR="005D56A6" w:rsidRPr="001652BE" w:rsidSect="0049169A">
      <w:headerReference w:type="even" r:id="rId8"/>
      <w:headerReference w:type="default" r:id="rId9"/>
      <w:headerReference w:type="first" r:id="rId10"/>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80A6" w14:textId="77777777" w:rsidR="00E90DFA" w:rsidRDefault="00E90DFA" w:rsidP="0073078E">
      <w:r>
        <w:separator/>
      </w:r>
    </w:p>
  </w:endnote>
  <w:endnote w:type="continuationSeparator" w:id="0">
    <w:p w14:paraId="330083EB" w14:textId="77777777" w:rsidR="00E90DFA" w:rsidRDefault="00E90DFA" w:rsidP="007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3463" w14:textId="77777777" w:rsidR="00E90DFA" w:rsidRDefault="00E90DFA" w:rsidP="0073078E">
      <w:r>
        <w:separator/>
      </w:r>
    </w:p>
  </w:footnote>
  <w:footnote w:type="continuationSeparator" w:id="0">
    <w:p w14:paraId="0C6EF770" w14:textId="77777777" w:rsidR="00E90DFA" w:rsidRDefault="00E90DFA" w:rsidP="0073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C89D" w14:textId="5B998AA7" w:rsidR="00751574" w:rsidRPr="002310F7" w:rsidRDefault="00231E87" w:rsidP="002310F7">
    <w:pPr>
      <w:pStyle w:val="Encabezado"/>
      <w:rPr>
        <w:sz w:val="22"/>
        <w:szCs w:val="22"/>
      </w:rPr>
    </w:pPr>
    <w:bookmarkStart w:id="1" w:name="_Hlk202358613"/>
    <w:r w:rsidRPr="002310F7">
      <w:rPr>
        <w:rFonts w:ascii="Arial" w:hAnsi="Arial" w:cs="Arial"/>
        <w:bCs/>
        <w:sz w:val="22"/>
        <w:szCs w:val="22"/>
      </w:rPr>
      <w:t>IOC</w:t>
    </w:r>
    <w:r w:rsidR="002310F7" w:rsidRPr="002310F7">
      <w:rPr>
        <w:rFonts w:ascii="Arial" w:hAnsi="Arial" w:cs="Arial"/>
        <w:bCs/>
        <w:sz w:val="22"/>
        <w:szCs w:val="22"/>
      </w:rPr>
      <w:t>/A</w:t>
    </w:r>
    <w:r w:rsidRPr="002310F7">
      <w:rPr>
        <w:rFonts w:ascii="Arial" w:hAnsi="Arial" w:cs="Arial"/>
        <w:bCs/>
        <w:sz w:val="22"/>
        <w:szCs w:val="22"/>
      </w:rPr>
      <w:t>-33/DR.[</w:t>
    </w:r>
    <w:r w:rsidR="00BD60D4" w:rsidRPr="002310F7">
      <w:rPr>
        <w:rFonts w:ascii="Arial" w:hAnsi="Arial" w:cs="Arial"/>
        <w:bCs/>
        <w:sz w:val="22"/>
        <w:szCs w:val="22"/>
      </w:rPr>
      <w:t>3.3.1</w:t>
    </w:r>
    <w:r w:rsidRPr="002310F7">
      <w:rPr>
        <w:rFonts w:ascii="Arial" w:hAnsi="Arial" w:cs="Arial"/>
        <w:bCs/>
        <w:sz w:val="22"/>
        <w:szCs w:val="22"/>
      </w:rPr>
      <w:t>]</w:t>
    </w:r>
    <w:r w:rsidR="002310F7" w:rsidRPr="002310F7">
      <w:rPr>
        <w:rFonts w:ascii="Arial" w:hAnsi="Arial" w:cs="Arial"/>
        <w:bCs/>
        <w:sz w:val="22"/>
        <w:szCs w:val="22"/>
      </w:rPr>
      <w:t xml:space="preserve"> – </w:t>
    </w:r>
    <w:r w:rsidR="0073078E" w:rsidRPr="002310F7">
      <w:rPr>
        <w:rFonts w:ascii="Arial" w:hAnsi="Arial" w:cs="Arial"/>
        <w:bCs/>
        <w:sz w:val="22"/>
        <w:szCs w:val="22"/>
        <w:lang w:val="fr-FR"/>
      </w:rPr>
      <w:t>p</w:t>
    </w:r>
    <w:r w:rsidR="002310F7" w:rsidRPr="002310F7">
      <w:rPr>
        <w:rFonts w:ascii="Arial" w:hAnsi="Arial" w:cs="Arial"/>
        <w:bCs/>
        <w:sz w:val="22"/>
        <w:szCs w:val="22"/>
        <w:lang w:val="fr-FR"/>
      </w:rPr>
      <w:t>ág.</w:t>
    </w:r>
    <w:bookmarkEnd w:id="1"/>
    <w:r w:rsidR="0073078E" w:rsidRPr="002310F7">
      <w:rPr>
        <w:rFonts w:ascii="Arial" w:hAnsi="Arial" w:cs="Arial"/>
        <w:bCs/>
        <w:sz w:val="22"/>
        <w:szCs w:val="22"/>
        <w:lang w:val="fr-FR"/>
      </w:rPr>
      <w:t xml:space="preserve"> </w:t>
    </w:r>
    <w:r w:rsidR="00DC168C" w:rsidRPr="002310F7">
      <w:rPr>
        <w:rFonts w:ascii="Arial" w:hAnsi="Arial" w:cs="Arial"/>
        <w:bCs/>
        <w:sz w:val="22"/>
        <w:szCs w:val="22"/>
        <w:lang w:val="fr-FR"/>
      </w:rPr>
      <w:fldChar w:fldCharType="begin"/>
    </w:r>
    <w:r w:rsidR="00DC168C" w:rsidRPr="002310F7">
      <w:rPr>
        <w:rFonts w:ascii="Arial" w:hAnsi="Arial" w:cs="Arial"/>
        <w:bCs/>
        <w:sz w:val="22"/>
        <w:szCs w:val="22"/>
        <w:lang w:val="fr-FR"/>
      </w:rPr>
      <w:instrText xml:space="preserve"> PAGE   \* MERGEFORMAT </w:instrText>
    </w:r>
    <w:r w:rsidR="00DC168C" w:rsidRPr="002310F7">
      <w:rPr>
        <w:rFonts w:ascii="Arial" w:hAnsi="Arial" w:cs="Arial"/>
        <w:bCs/>
        <w:sz w:val="22"/>
        <w:szCs w:val="22"/>
        <w:lang w:val="fr-FR"/>
      </w:rPr>
      <w:fldChar w:fldCharType="separate"/>
    </w:r>
    <w:r w:rsidR="00397F12" w:rsidRPr="002310F7">
      <w:rPr>
        <w:rFonts w:ascii="Arial" w:hAnsi="Arial" w:cs="Arial"/>
        <w:bCs/>
        <w:noProof/>
        <w:sz w:val="22"/>
        <w:szCs w:val="22"/>
        <w:lang w:val="fr-FR"/>
      </w:rPr>
      <w:t>4</w:t>
    </w:r>
    <w:r w:rsidR="00DC168C" w:rsidRPr="002310F7">
      <w:rPr>
        <w:rFonts w:ascii="Arial" w:hAnsi="Arial" w:cs="Arial"/>
        <w:bCs/>
        <w:noProof/>
        <w:sz w:val="22"/>
        <w:szCs w:val="22"/>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8E59" w14:textId="7F06F22E" w:rsidR="00751574" w:rsidRDefault="002310F7" w:rsidP="002310F7">
    <w:pPr>
      <w:pStyle w:val="Encabezado"/>
      <w:jc w:val="right"/>
    </w:pPr>
    <w:r w:rsidRPr="002310F7">
      <w:rPr>
        <w:rFonts w:ascii="Arial" w:hAnsi="Arial" w:cs="Arial"/>
        <w:bCs/>
        <w:sz w:val="22"/>
        <w:szCs w:val="22"/>
      </w:rPr>
      <w:t xml:space="preserve">IOC/A-33/DR.[3.3.1] – </w:t>
    </w:r>
    <w:r w:rsidRPr="002310F7">
      <w:rPr>
        <w:rFonts w:ascii="Arial" w:hAnsi="Arial" w:cs="Arial"/>
        <w:bCs/>
        <w:sz w:val="22"/>
        <w:szCs w:val="22"/>
        <w:lang w:val="fr-FR"/>
      </w:rPr>
      <w:t>pág.</w:t>
    </w:r>
    <w:r w:rsidR="0073078E" w:rsidRPr="00231E87">
      <w:rPr>
        <w:rFonts w:ascii="Arial" w:hAnsi="Arial" w:cs="Arial"/>
        <w:bCs/>
        <w:sz w:val="20"/>
        <w:szCs w:val="20"/>
        <w:lang w:val="fr-FR"/>
      </w:rPr>
      <w:t xml:space="preserve"> </w:t>
    </w:r>
    <w:r w:rsidR="00413BC8" w:rsidRPr="00231E87">
      <w:rPr>
        <w:rFonts w:ascii="Arial" w:hAnsi="Arial" w:cs="Arial"/>
        <w:bCs/>
        <w:sz w:val="20"/>
        <w:szCs w:val="20"/>
        <w:lang w:val="fr-FR"/>
      </w:rPr>
      <w:fldChar w:fldCharType="begin"/>
    </w:r>
    <w:r w:rsidR="00413BC8" w:rsidRPr="00231E87">
      <w:rPr>
        <w:rFonts w:ascii="Arial" w:hAnsi="Arial" w:cs="Arial"/>
        <w:bCs/>
        <w:sz w:val="20"/>
        <w:szCs w:val="20"/>
        <w:lang w:val="fr-FR"/>
      </w:rPr>
      <w:instrText xml:space="preserve"> PAGE   \* MERGEFORMAT </w:instrText>
    </w:r>
    <w:r w:rsidR="00413BC8" w:rsidRPr="00231E87">
      <w:rPr>
        <w:rFonts w:ascii="Arial" w:hAnsi="Arial" w:cs="Arial"/>
        <w:bCs/>
        <w:sz w:val="20"/>
        <w:szCs w:val="20"/>
        <w:lang w:val="fr-FR"/>
      </w:rPr>
      <w:fldChar w:fldCharType="separate"/>
    </w:r>
    <w:r w:rsidR="00397F12">
      <w:rPr>
        <w:rFonts w:ascii="Arial" w:hAnsi="Arial" w:cs="Arial"/>
        <w:bCs/>
        <w:noProof/>
        <w:sz w:val="20"/>
        <w:szCs w:val="20"/>
        <w:lang w:val="fr-FR"/>
      </w:rPr>
      <w:t>5</w:t>
    </w:r>
    <w:r w:rsidR="00413BC8" w:rsidRPr="00231E87">
      <w:rPr>
        <w:rFonts w:ascii="Arial" w:hAnsi="Arial" w:cs="Arial"/>
        <w:bCs/>
        <w:noProof/>
        <w:sz w:val="20"/>
        <w:szCs w:val="20"/>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345"/>
      <w:gridCol w:w="2941"/>
    </w:tblGrid>
    <w:tr w:rsidR="00AE7B7A" w:rsidRPr="001652BE" w14:paraId="629F5753" w14:textId="77777777" w:rsidTr="000A2563">
      <w:tc>
        <w:tcPr>
          <w:tcW w:w="6345" w:type="dxa"/>
        </w:tcPr>
        <w:p w14:paraId="62F76A3E" w14:textId="77777777" w:rsidR="00AE7B7A" w:rsidRPr="001652BE" w:rsidRDefault="00AE7B7A" w:rsidP="00AE7B7A">
          <w:pPr>
            <w:spacing w:after="120" w:line="360" w:lineRule="auto"/>
            <w:ind w:left="-105"/>
            <w:jc w:val="both"/>
            <w:rPr>
              <w:rFonts w:asciiTheme="minorBidi" w:hAnsiTheme="minorBidi" w:cstheme="minorBidi"/>
              <w:sz w:val="22"/>
              <w:szCs w:val="22"/>
              <w:lang w:val="es-ES_tradnl"/>
            </w:rPr>
          </w:pPr>
          <w:r w:rsidRPr="001652BE">
            <w:rPr>
              <w:rFonts w:asciiTheme="minorBidi" w:hAnsiTheme="minorBidi" w:cstheme="minorBidi"/>
              <w:color w:val="000000"/>
              <w:sz w:val="22"/>
              <w:szCs w:val="22"/>
              <w:lang w:val="es-ES_tradnl"/>
            </w:rPr>
            <w:t>Distribución limitada</w:t>
          </w:r>
        </w:p>
      </w:tc>
      <w:tc>
        <w:tcPr>
          <w:tcW w:w="2941" w:type="dxa"/>
        </w:tcPr>
        <w:p w14:paraId="48B3B98B" w14:textId="77777777" w:rsidR="00AE7B7A" w:rsidRPr="001652BE" w:rsidRDefault="00AE7B7A" w:rsidP="00AE7B7A">
          <w:pPr>
            <w:tabs>
              <w:tab w:val="clear" w:pos="567"/>
            </w:tabs>
            <w:ind w:left="213"/>
            <w:jc w:val="both"/>
            <w:rPr>
              <w:rFonts w:asciiTheme="minorBidi" w:hAnsiTheme="minorBidi" w:cstheme="minorBidi"/>
              <w:b/>
              <w:sz w:val="22"/>
              <w:szCs w:val="22"/>
              <w:lang w:val="es-ES_tradnl"/>
            </w:rPr>
          </w:pPr>
          <w:r w:rsidRPr="001652BE">
            <w:rPr>
              <w:rFonts w:asciiTheme="minorBidi" w:hAnsiTheme="minorBidi" w:cstheme="minorBidi"/>
              <w:b/>
              <w:bCs/>
              <w:color w:val="000000"/>
              <w:sz w:val="22"/>
              <w:szCs w:val="22"/>
              <w:lang w:val="es-ES_tradnl"/>
            </w:rPr>
            <w:t>IOC/A-33/DR.[3.3.1]</w:t>
          </w:r>
        </w:p>
        <w:p w14:paraId="31E1EE5A" w14:textId="77777777" w:rsidR="00AE7B7A" w:rsidRPr="001652BE" w:rsidRDefault="00AE7B7A" w:rsidP="00AE7B7A">
          <w:pPr>
            <w:tabs>
              <w:tab w:val="clear" w:pos="567"/>
            </w:tabs>
            <w:ind w:left="213"/>
            <w:jc w:val="both"/>
            <w:rPr>
              <w:rFonts w:asciiTheme="minorBidi" w:hAnsiTheme="minorBidi" w:cstheme="minorBidi"/>
              <w:sz w:val="22"/>
              <w:szCs w:val="22"/>
              <w:lang w:val="es-ES_tradnl"/>
            </w:rPr>
          </w:pPr>
          <w:r w:rsidRPr="001652BE">
            <w:rPr>
              <w:rFonts w:asciiTheme="minorBidi" w:hAnsiTheme="minorBidi" w:cstheme="minorBidi"/>
              <w:color w:val="000000"/>
              <w:sz w:val="22"/>
              <w:szCs w:val="22"/>
              <w:lang w:val="es-ES_tradnl"/>
            </w:rPr>
            <w:t>París, 2 de julio de 2025</w:t>
          </w:r>
        </w:p>
        <w:p w14:paraId="4381B8E7" w14:textId="77777777" w:rsidR="00AE7B7A" w:rsidRPr="001652BE" w:rsidRDefault="00AE7B7A" w:rsidP="00AE7B7A">
          <w:pPr>
            <w:tabs>
              <w:tab w:val="clear" w:pos="567"/>
            </w:tabs>
            <w:ind w:left="213"/>
            <w:jc w:val="both"/>
            <w:rPr>
              <w:rFonts w:asciiTheme="minorBidi" w:hAnsiTheme="minorBidi" w:cstheme="minorBidi"/>
              <w:sz w:val="22"/>
              <w:szCs w:val="22"/>
              <w:lang w:val="es-ES_tradnl"/>
            </w:rPr>
          </w:pPr>
          <w:r w:rsidRPr="001652BE">
            <w:rPr>
              <w:rFonts w:asciiTheme="minorBidi" w:hAnsiTheme="minorBidi" w:cstheme="minorBidi"/>
              <w:color w:val="000000"/>
              <w:sz w:val="22"/>
              <w:szCs w:val="22"/>
              <w:lang w:val="es-ES_tradnl"/>
            </w:rPr>
            <w:t>Original: inglés</w:t>
          </w:r>
        </w:p>
      </w:tc>
    </w:tr>
  </w:tbl>
  <w:p w14:paraId="5EF0FCFC" w14:textId="77777777" w:rsidR="00AE7B7A" w:rsidRDefault="00AE7B7A" w:rsidP="00AE7B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39FB"/>
    <w:multiLevelType w:val="multilevel"/>
    <w:tmpl w:val="8214B8B2"/>
    <w:styleLink w:val="JCOMM-list"/>
    <w:lvl w:ilvl="0">
      <w:start w:val="1"/>
      <w:numFmt w:val="none"/>
      <w:suff w:val="nothing"/>
      <w:lvlText w:val=""/>
      <w:lvlJc w:val="center"/>
      <w:pPr>
        <w:ind w:left="0" w:firstLine="288"/>
      </w:pPr>
      <w:rPr>
        <w:rFonts w:ascii="Arial" w:hAnsi="Arial" w:hint="default"/>
        <w:b/>
        <w:i w:val="0"/>
        <w:caps/>
        <w:sz w:val="24"/>
      </w:rPr>
    </w:lvl>
    <w:lvl w:ilvl="1">
      <w:start w:val="1"/>
      <w:numFmt w:val="decimal"/>
      <w:lvlText w:val="%2."/>
      <w:lvlJc w:val="left"/>
      <w:pPr>
        <w:ind w:left="720" w:hanging="720"/>
      </w:pPr>
      <w:rPr>
        <w:rFonts w:hint="default"/>
      </w:rPr>
    </w:lvl>
    <w:lvl w:ilvl="2">
      <w:start w:val="1"/>
      <w:numFmt w:val="decimal"/>
      <w:pStyle w:val="Ttulo2"/>
      <w:lvlText w:val="%2%3."/>
      <w:lvlJc w:val="left"/>
      <w:pPr>
        <w:ind w:left="720" w:hanging="720"/>
      </w:pPr>
      <w:rPr>
        <w:rFonts w:hint="default"/>
      </w:rPr>
    </w:lvl>
    <w:lvl w:ilvl="3">
      <w:start w:val="1"/>
      <w:numFmt w:val="decimal"/>
      <w:lvlText w:val="%4.%3.%2"/>
      <w:lvlJc w:val="left"/>
      <w:pPr>
        <w:ind w:left="720" w:hanging="720"/>
      </w:pPr>
      <w:rPr>
        <w:rFonts w:ascii="Arial" w:hAnsi="Arial" w:hint="default"/>
        <w:b w:val="0"/>
        <w:i w:val="0"/>
        <w:sz w:val="22"/>
      </w:rPr>
    </w:lvl>
    <w:lvl w:ilvl="4">
      <w:start w:val="1"/>
      <w:numFmt w:val="decimal"/>
      <w:lvlText w:val="%5.%2.%3.%4."/>
      <w:lvlJc w:val="left"/>
      <w:pPr>
        <w:ind w:left="720" w:hanging="72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6437A2"/>
    <w:multiLevelType w:val="hybridMultilevel"/>
    <w:tmpl w:val="E3F8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2F43"/>
    <w:multiLevelType w:val="hybridMultilevel"/>
    <w:tmpl w:val="7B26EED4"/>
    <w:lvl w:ilvl="0" w:tplc="1700C858">
      <w:start w:val="1"/>
      <w:numFmt w:val="lowerRoman"/>
      <w:lvlText w:val="(%1)"/>
      <w:lvlJc w:val="left"/>
      <w:pPr>
        <w:ind w:left="720" w:hanging="72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C66605E"/>
    <w:multiLevelType w:val="hybridMultilevel"/>
    <w:tmpl w:val="5A76F010"/>
    <w:lvl w:ilvl="0" w:tplc="454CD878">
      <w:start w:val="1"/>
      <w:numFmt w:val="decimal"/>
      <w:lvlText w:val="%1."/>
      <w:lvlJc w:val="left"/>
      <w:pPr>
        <w:ind w:left="153" w:hanging="360"/>
      </w:pPr>
      <w:rPr>
        <w:rFonts w:ascii="Arial" w:hAnsi="Arial" w:hint="default"/>
        <w:b w:val="0"/>
        <w:i/>
        <w:sz w:val="22"/>
        <w:szCs w:val="22"/>
      </w:r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 w15:restartNumberingAfterBreak="0">
    <w:nsid w:val="0CBF20D8"/>
    <w:multiLevelType w:val="hybridMultilevel"/>
    <w:tmpl w:val="6972A358"/>
    <w:lvl w:ilvl="0" w:tplc="8B98BED4">
      <w:start w:val="1"/>
      <w:numFmt w:val="upperRoman"/>
      <w:lvlText w:val="%1."/>
      <w:lvlJc w:val="left"/>
      <w:pPr>
        <w:ind w:left="720" w:hanging="72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F4138E1"/>
    <w:multiLevelType w:val="hybridMultilevel"/>
    <w:tmpl w:val="CEAC1B78"/>
    <w:lvl w:ilvl="0" w:tplc="3C8ADCD2">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FB59B7"/>
    <w:multiLevelType w:val="hybridMultilevel"/>
    <w:tmpl w:val="8736BA4C"/>
    <w:lvl w:ilvl="0" w:tplc="AAEC8A8C">
      <w:start w:val="1"/>
      <w:numFmt w:val="lowerRoman"/>
      <w:lvlText w:val="(%1)"/>
      <w:lvlJc w:val="left"/>
      <w:pPr>
        <w:ind w:left="873" w:hanging="720"/>
      </w:pPr>
      <w:rPr>
        <w:rFonts w:ascii="Arial" w:hAnsi="Arial" w:cs="Arial" w:hint="default"/>
        <w:b/>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7" w15:restartNumberingAfterBreak="0">
    <w:nsid w:val="3C426100"/>
    <w:multiLevelType w:val="hybridMultilevel"/>
    <w:tmpl w:val="6C14D09E"/>
    <w:lvl w:ilvl="0" w:tplc="FFFFFFFF">
      <w:start w:val="1"/>
      <w:numFmt w:val="decimal"/>
      <w:lvlText w:val="%1."/>
      <w:lvlJc w:val="left"/>
      <w:pPr>
        <w:ind w:left="153" w:hanging="360"/>
      </w:pPr>
      <w:rPr>
        <w:rFonts w:ascii="Arial" w:hAnsi="Arial" w:hint="default"/>
        <w:b w:val="0"/>
        <w:i/>
        <w:sz w:val="20"/>
        <w:szCs w:val="22"/>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8" w15:restartNumberingAfterBreak="0">
    <w:nsid w:val="429475A6"/>
    <w:multiLevelType w:val="hybridMultilevel"/>
    <w:tmpl w:val="F3BE6406"/>
    <w:lvl w:ilvl="0" w:tplc="6D68BCE4">
      <w:start w:val="1"/>
      <w:numFmt w:val="lowerRoman"/>
      <w:lvlText w:val="(%1)"/>
      <w:lvlJc w:val="left"/>
      <w:pPr>
        <w:ind w:left="1290" w:hanging="720"/>
      </w:pPr>
      <w:rPr>
        <w:rFonts w:cs="Times New Roman"/>
      </w:rPr>
    </w:lvl>
    <w:lvl w:ilvl="1" w:tplc="040C0019">
      <w:start w:val="1"/>
      <w:numFmt w:val="lowerLetter"/>
      <w:lvlText w:val="%2."/>
      <w:lvlJc w:val="left"/>
      <w:pPr>
        <w:ind w:left="1650" w:hanging="360"/>
      </w:pPr>
      <w:rPr>
        <w:rFonts w:cs="Times New Roman"/>
      </w:rPr>
    </w:lvl>
    <w:lvl w:ilvl="2" w:tplc="040C001B">
      <w:start w:val="1"/>
      <w:numFmt w:val="lowerRoman"/>
      <w:lvlText w:val="%3."/>
      <w:lvlJc w:val="right"/>
      <w:pPr>
        <w:ind w:left="2370" w:hanging="180"/>
      </w:pPr>
      <w:rPr>
        <w:rFonts w:cs="Times New Roman"/>
      </w:rPr>
    </w:lvl>
    <w:lvl w:ilvl="3" w:tplc="040C000F">
      <w:start w:val="1"/>
      <w:numFmt w:val="decimal"/>
      <w:lvlText w:val="%4."/>
      <w:lvlJc w:val="left"/>
      <w:pPr>
        <w:ind w:left="3090" w:hanging="360"/>
      </w:pPr>
      <w:rPr>
        <w:rFonts w:cs="Times New Roman"/>
      </w:rPr>
    </w:lvl>
    <w:lvl w:ilvl="4" w:tplc="040C0019">
      <w:start w:val="1"/>
      <w:numFmt w:val="lowerLetter"/>
      <w:lvlText w:val="%5."/>
      <w:lvlJc w:val="left"/>
      <w:pPr>
        <w:ind w:left="3810" w:hanging="360"/>
      </w:pPr>
      <w:rPr>
        <w:rFonts w:cs="Times New Roman"/>
      </w:rPr>
    </w:lvl>
    <w:lvl w:ilvl="5" w:tplc="040C001B">
      <w:start w:val="1"/>
      <w:numFmt w:val="lowerRoman"/>
      <w:lvlText w:val="%6."/>
      <w:lvlJc w:val="right"/>
      <w:pPr>
        <w:ind w:left="4530" w:hanging="180"/>
      </w:pPr>
      <w:rPr>
        <w:rFonts w:cs="Times New Roman"/>
      </w:rPr>
    </w:lvl>
    <w:lvl w:ilvl="6" w:tplc="040C000F">
      <w:start w:val="1"/>
      <w:numFmt w:val="decimal"/>
      <w:lvlText w:val="%7."/>
      <w:lvlJc w:val="left"/>
      <w:pPr>
        <w:ind w:left="5250" w:hanging="360"/>
      </w:pPr>
      <w:rPr>
        <w:rFonts w:cs="Times New Roman"/>
      </w:rPr>
    </w:lvl>
    <w:lvl w:ilvl="7" w:tplc="040C0019">
      <w:start w:val="1"/>
      <w:numFmt w:val="lowerLetter"/>
      <w:lvlText w:val="%8."/>
      <w:lvlJc w:val="left"/>
      <w:pPr>
        <w:ind w:left="5970" w:hanging="360"/>
      </w:pPr>
      <w:rPr>
        <w:rFonts w:cs="Times New Roman"/>
      </w:rPr>
    </w:lvl>
    <w:lvl w:ilvl="8" w:tplc="040C001B">
      <w:start w:val="1"/>
      <w:numFmt w:val="lowerRoman"/>
      <w:lvlText w:val="%9."/>
      <w:lvlJc w:val="right"/>
      <w:pPr>
        <w:ind w:left="6690" w:hanging="180"/>
      </w:pPr>
      <w:rPr>
        <w:rFonts w:cs="Times New Roman"/>
      </w:rPr>
    </w:lvl>
  </w:abstractNum>
  <w:abstractNum w:abstractNumId="9" w15:restartNumberingAfterBreak="0">
    <w:nsid w:val="42C13349"/>
    <w:multiLevelType w:val="hybridMultilevel"/>
    <w:tmpl w:val="8B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D1D01"/>
    <w:multiLevelType w:val="hybridMultilevel"/>
    <w:tmpl w:val="43FC94BA"/>
    <w:lvl w:ilvl="0" w:tplc="D1728D3A">
      <w:start w:val="1"/>
      <w:numFmt w:val="decimal"/>
      <w:lvlText w:val="%1."/>
      <w:lvlJc w:val="left"/>
      <w:pPr>
        <w:ind w:left="153" w:hanging="360"/>
      </w:pPr>
      <w:rPr>
        <w:rFonts w:ascii="Arial" w:hAnsi="Arial" w:hint="default"/>
        <w:b w:val="0"/>
        <w:i/>
        <w:sz w:val="20"/>
        <w:szCs w:val="22"/>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1" w15:restartNumberingAfterBreak="0">
    <w:nsid w:val="4BD450B7"/>
    <w:multiLevelType w:val="hybridMultilevel"/>
    <w:tmpl w:val="A1F85074"/>
    <w:lvl w:ilvl="0" w:tplc="9BC8D4F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3A077E"/>
    <w:multiLevelType w:val="hybridMultilevel"/>
    <w:tmpl w:val="12BADB36"/>
    <w:lvl w:ilvl="0" w:tplc="4A5C04E6">
      <w:start w:val="1"/>
      <w:numFmt w:val="lowerRoman"/>
      <w:lvlText w:val="%1)"/>
      <w:lvlJc w:val="left"/>
      <w:pPr>
        <w:ind w:left="1593" w:hanging="720"/>
      </w:pPr>
      <w:rPr>
        <w:rFonts w:asciiTheme="minorBidi" w:eastAsia="Times New Roman" w:hAnsiTheme="minorBidi" w:cstheme="minorBidi"/>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13" w15:restartNumberingAfterBreak="0">
    <w:nsid w:val="52BF3846"/>
    <w:multiLevelType w:val="hybridMultilevel"/>
    <w:tmpl w:val="BE38F2E2"/>
    <w:lvl w:ilvl="0" w:tplc="50624724">
      <w:start w:val="1"/>
      <w:numFmt w:val="lowerRoman"/>
      <w:lvlText w:val="%1)"/>
      <w:lvlJc w:val="left"/>
      <w:pPr>
        <w:ind w:left="720" w:hanging="720"/>
      </w:pPr>
      <w:rPr>
        <w:rFonts w:asciiTheme="minorBidi" w:eastAsia="Times New Roman" w:hAnsiTheme="minorBidi"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8C76A1"/>
    <w:multiLevelType w:val="hybridMultilevel"/>
    <w:tmpl w:val="5AA4A35A"/>
    <w:lvl w:ilvl="0" w:tplc="6C544708">
      <w:start w:val="1"/>
      <w:numFmt w:val="decimal"/>
      <w:lvlText w:val="%1."/>
      <w:lvlJc w:val="left"/>
      <w:pPr>
        <w:ind w:left="-3" w:hanging="564"/>
      </w:pPr>
      <w:rPr>
        <w:rFonts w:hint="default"/>
        <w:i/>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91846286">
    <w:abstractNumId w:val="11"/>
  </w:num>
  <w:num w:numId="2" w16cid:durableId="2034111246">
    <w:abstractNumId w:val="14"/>
  </w:num>
  <w:num w:numId="3" w16cid:durableId="1369715812">
    <w:abstractNumId w:val="0"/>
  </w:num>
  <w:num w:numId="4" w16cid:durableId="1910117983">
    <w:abstractNumId w:val="5"/>
  </w:num>
  <w:num w:numId="5" w16cid:durableId="450707388">
    <w:abstractNumId w:val="9"/>
  </w:num>
  <w:num w:numId="6" w16cid:durableId="1716541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155905">
    <w:abstractNumId w:val="3"/>
  </w:num>
  <w:num w:numId="8" w16cid:durableId="663246826">
    <w:abstractNumId w:val="15"/>
  </w:num>
  <w:num w:numId="9" w16cid:durableId="661743285">
    <w:abstractNumId w:val="4"/>
  </w:num>
  <w:num w:numId="10" w16cid:durableId="1387794734">
    <w:abstractNumId w:val="13"/>
  </w:num>
  <w:num w:numId="11" w16cid:durableId="1338002809">
    <w:abstractNumId w:val="2"/>
  </w:num>
  <w:num w:numId="12" w16cid:durableId="1527060483">
    <w:abstractNumId w:val="1"/>
  </w:num>
  <w:num w:numId="13" w16cid:durableId="1929461373">
    <w:abstractNumId w:val="10"/>
  </w:num>
  <w:num w:numId="14" w16cid:durableId="255404126">
    <w:abstractNumId w:val="7"/>
  </w:num>
  <w:num w:numId="15" w16cid:durableId="1967273215">
    <w:abstractNumId w:val="6"/>
  </w:num>
  <w:num w:numId="16" w16cid:durableId="1420173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6D"/>
    <w:rsid w:val="00033DD2"/>
    <w:rsid w:val="00052B5A"/>
    <w:rsid w:val="00061735"/>
    <w:rsid w:val="00067B5F"/>
    <w:rsid w:val="000928C2"/>
    <w:rsid w:val="000A29CD"/>
    <w:rsid w:val="000A3C01"/>
    <w:rsid w:val="000B314C"/>
    <w:rsid w:val="000B377E"/>
    <w:rsid w:val="000D0C6F"/>
    <w:rsid w:val="000D312B"/>
    <w:rsid w:val="000D35C3"/>
    <w:rsid w:val="000D4EDB"/>
    <w:rsid w:val="000E3A32"/>
    <w:rsid w:val="000E6B8F"/>
    <w:rsid w:val="000E73D6"/>
    <w:rsid w:val="00100D1B"/>
    <w:rsid w:val="001105FE"/>
    <w:rsid w:val="00112CC0"/>
    <w:rsid w:val="0011490A"/>
    <w:rsid w:val="00130704"/>
    <w:rsid w:val="00130FBD"/>
    <w:rsid w:val="00135422"/>
    <w:rsid w:val="00156031"/>
    <w:rsid w:val="00157FCD"/>
    <w:rsid w:val="001652BE"/>
    <w:rsid w:val="001718C4"/>
    <w:rsid w:val="00182D16"/>
    <w:rsid w:val="00183205"/>
    <w:rsid w:val="00185F80"/>
    <w:rsid w:val="00187E6C"/>
    <w:rsid w:val="001916E4"/>
    <w:rsid w:val="001A1199"/>
    <w:rsid w:val="001E3923"/>
    <w:rsid w:val="001E4EA6"/>
    <w:rsid w:val="001F064E"/>
    <w:rsid w:val="001F3D2C"/>
    <w:rsid w:val="00205DCB"/>
    <w:rsid w:val="002066D1"/>
    <w:rsid w:val="00230B63"/>
    <w:rsid w:val="002310F7"/>
    <w:rsid w:val="00231E87"/>
    <w:rsid w:val="002329A9"/>
    <w:rsid w:val="00252C0F"/>
    <w:rsid w:val="00271D0B"/>
    <w:rsid w:val="00276749"/>
    <w:rsid w:val="00283D29"/>
    <w:rsid w:val="00292E37"/>
    <w:rsid w:val="00297B99"/>
    <w:rsid w:val="002B0C6F"/>
    <w:rsid w:val="002C28A8"/>
    <w:rsid w:val="002C505E"/>
    <w:rsid w:val="002D0C14"/>
    <w:rsid w:val="002D6E25"/>
    <w:rsid w:val="002E03E9"/>
    <w:rsid w:val="002E41A7"/>
    <w:rsid w:val="002F22D2"/>
    <w:rsid w:val="002F5EF5"/>
    <w:rsid w:val="00302C61"/>
    <w:rsid w:val="00311005"/>
    <w:rsid w:val="003336D2"/>
    <w:rsid w:val="00360551"/>
    <w:rsid w:val="00361A7F"/>
    <w:rsid w:val="0038787F"/>
    <w:rsid w:val="00396BE3"/>
    <w:rsid w:val="00397F12"/>
    <w:rsid w:val="003A13BA"/>
    <w:rsid w:val="003A3132"/>
    <w:rsid w:val="003A770C"/>
    <w:rsid w:val="003B2914"/>
    <w:rsid w:val="003C1033"/>
    <w:rsid w:val="003C28D9"/>
    <w:rsid w:val="003C3575"/>
    <w:rsid w:val="003C3CE4"/>
    <w:rsid w:val="003C6064"/>
    <w:rsid w:val="00413BC8"/>
    <w:rsid w:val="00416789"/>
    <w:rsid w:val="004373DA"/>
    <w:rsid w:val="00450D22"/>
    <w:rsid w:val="00451DE6"/>
    <w:rsid w:val="00454349"/>
    <w:rsid w:val="00457E71"/>
    <w:rsid w:val="00460755"/>
    <w:rsid w:val="00482716"/>
    <w:rsid w:val="004900DC"/>
    <w:rsid w:val="0049169A"/>
    <w:rsid w:val="00494C9A"/>
    <w:rsid w:val="004A4311"/>
    <w:rsid w:val="004A5BB4"/>
    <w:rsid w:val="004A7CAE"/>
    <w:rsid w:val="004B07F1"/>
    <w:rsid w:val="004B1009"/>
    <w:rsid w:val="004D6A2C"/>
    <w:rsid w:val="004F0700"/>
    <w:rsid w:val="004F46DE"/>
    <w:rsid w:val="004F59BF"/>
    <w:rsid w:val="005002AE"/>
    <w:rsid w:val="0050224F"/>
    <w:rsid w:val="005039BF"/>
    <w:rsid w:val="0051682A"/>
    <w:rsid w:val="00523EB5"/>
    <w:rsid w:val="0052525E"/>
    <w:rsid w:val="00545B24"/>
    <w:rsid w:val="005533C7"/>
    <w:rsid w:val="00574B99"/>
    <w:rsid w:val="00575373"/>
    <w:rsid w:val="00582E0E"/>
    <w:rsid w:val="0058380E"/>
    <w:rsid w:val="005962DA"/>
    <w:rsid w:val="005B33AB"/>
    <w:rsid w:val="005B3C25"/>
    <w:rsid w:val="005C3114"/>
    <w:rsid w:val="005C3138"/>
    <w:rsid w:val="005D3928"/>
    <w:rsid w:val="005D56A6"/>
    <w:rsid w:val="005E3B34"/>
    <w:rsid w:val="005E6386"/>
    <w:rsid w:val="005F5724"/>
    <w:rsid w:val="006051FA"/>
    <w:rsid w:val="006057C7"/>
    <w:rsid w:val="006146B3"/>
    <w:rsid w:val="00621A35"/>
    <w:rsid w:val="00630B82"/>
    <w:rsid w:val="00637E65"/>
    <w:rsid w:val="00661C4F"/>
    <w:rsid w:val="00681F73"/>
    <w:rsid w:val="00684C62"/>
    <w:rsid w:val="006906F7"/>
    <w:rsid w:val="00696F63"/>
    <w:rsid w:val="006B2C31"/>
    <w:rsid w:val="006D4CD7"/>
    <w:rsid w:val="006D76FD"/>
    <w:rsid w:val="006E1B5F"/>
    <w:rsid w:val="006E4FE1"/>
    <w:rsid w:val="006E5381"/>
    <w:rsid w:val="006F2AFB"/>
    <w:rsid w:val="00716A98"/>
    <w:rsid w:val="00721A29"/>
    <w:rsid w:val="0073078E"/>
    <w:rsid w:val="00733A53"/>
    <w:rsid w:val="007353C1"/>
    <w:rsid w:val="0073685D"/>
    <w:rsid w:val="00751574"/>
    <w:rsid w:val="00764F6E"/>
    <w:rsid w:val="007A423A"/>
    <w:rsid w:val="007D3460"/>
    <w:rsid w:val="007E2A6D"/>
    <w:rsid w:val="007E2D31"/>
    <w:rsid w:val="007F4DC0"/>
    <w:rsid w:val="00807CA8"/>
    <w:rsid w:val="00825241"/>
    <w:rsid w:val="00827259"/>
    <w:rsid w:val="008465E4"/>
    <w:rsid w:val="00856C2C"/>
    <w:rsid w:val="00857749"/>
    <w:rsid w:val="008871E8"/>
    <w:rsid w:val="00891A95"/>
    <w:rsid w:val="008A3665"/>
    <w:rsid w:val="008B69B4"/>
    <w:rsid w:val="008B6AA0"/>
    <w:rsid w:val="008E03E6"/>
    <w:rsid w:val="008F68DC"/>
    <w:rsid w:val="0092035F"/>
    <w:rsid w:val="00923DD2"/>
    <w:rsid w:val="009371D8"/>
    <w:rsid w:val="00947577"/>
    <w:rsid w:val="009649DD"/>
    <w:rsid w:val="00971C83"/>
    <w:rsid w:val="00984EB6"/>
    <w:rsid w:val="00992E9D"/>
    <w:rsid w:val="009C4402"/>
    <w:rsid w:val="009D068C"/>
    <w:rsid w:val="009E1F6C"/>
    <w:rsid w:val="009F7E71"/>
    <w:rsid w:val="00A01DAE"/>
    <w:rsid w:val="00A267F1"/>
    <w:rsid w:val="00A271D2"/>
    <w:rsid w:val="00A458E4"/>
    <w:rsid w:val="00A45978"/>
    <w:rsid w:val="00A50A2B"/>
    <w:rsid w:val="00A6250E"/>
    <w:rsid w:val="00A72D8D"/>
    <w:rsid w:val="00A80C6B"/>
    <w:rsid w:val="00A84C0B"/>
    <w:rsid w:val="00A866AA"/>
    <w:rsid w:val="00A94BC2"/>
    <w:rsid w:val="00AB4ADA"/>
    <w:rsid w:val="00AC1B19"/>
    <w:rsid w:val="00AE7B7A"/>
    <w:rsid w:val="00AF2865"/>
    <w:rsid w:val="00B03CAA"/>
    <w:rsid w:val="00B06D09"/>
    <w:rsid w:val="00B11D93"/>
    <w:rsid w:val="00B15066"/>
    <w:rsid w:val="00B206AF"/>
    <w:rsid w:val="00B2159F"/>
    <w:rsid w:val="00B44D6A"/>
    <w:rsid w:val="00B501B6"/>
    <w:rsid w:val="00B52C4F"/>
    <w:rsid w:val="00B63663"/>
    <w:rsid w:val="00B636EE"/>
    <w:rsid w:val="00B70C61"/>
    <w:rsid w:val="00B90E4D"/>
    <w:rsid w:val="00BA7FAD"/>
    <w:rsid w:val="00BB175E"/>
    <w:rsid w:val="00BB35BB"/>
    <w:rsid w:val="00BB4FD9"/>
    <w:rsid w:val="00BC394C"/>
    <w:rsid w:val="00BC46DF"/>
    <w:rsid w:val="00BC4EC3"/>
    <w:rsid w:val="00BD60D4"/>
    <w:rsid w:val="00BE3096"/>
    <w:rsid w:val="00C06094"/>
    <w:rsid w:val="00C143AE"/>
    <w:rsid w:val="00C16EAA"/>
    <w:rsid w:val="00C17960"/>
    <w:rsid w:val="00C63E45"/>
    <w:rsid w:val="00C674F9"/>
    <w:rsid w:val="00C81BBE"/>
    <w:rsid w:val="00C94407"/>
    <w:rsid w:val="00C964DA"/>
    <w:rsid w:val="00CA4E58"/>
    <w:rsid w:val="00CB100B"/>
    <w:rsid w:val="00CC3161"/>
    <w:rsid w:val="00CE1ACB"/>
    <w:rsid w:val="00CE56BD"/>
    <w:rsid w:val="00D0146F"/>
    <w:rsid w:val="00D04B3D"/>
    <w:rsid w:val="00D060C1"/>
    <w:rsid w:val="00D16E6C"/>
    <w:rsid w:val="00D268CA"/>
    <w:rsid w:val="00D275A8"/>
    <w:rsid w:val="00D31E7B"/>
    <w:rsid w:val="00D36FB2"/>
    <w:rsid w:val="00D46D6A"/>
    <w:rsid w:val="00D56ECD"/>
    <w:rsid w:val="00D61245"/>
    <w:rsid w:val="00D77373"/>
    <w:rsid w:val="00D81C6F"/>
    <w:rsid w:val="00D94742"/>
    <w:rsid w:val="00DA0257"/>
    <w:rsid w:val="00DB4C5A"/>
    <w:rsid w:val="00DB552E"/>
    <w:rsid w:val="00DC0DA4"/>
    <w:rsid w:val="00DC168C"/>
    <w:rsid w:val="00DD049A"/>
    <w:rsid w:val="00DD3E05"/>
    <w:rsid w:val="00DD7428"/>
    <w:rsid w:val="00DE18E8"/>
    <w:rsid w:val="00DF34E9"/>
    <w:rsid w:val="00DF483F"/>
    <w:rsid w:val="00E0532A"/>
    <w:rsid w:val="00E065D5"/>
    <w:rsid w:val="00E11E30"/>
    <w:rsid w:val="00E17E7F"/>
    <w:rsid w:val="00E279D9"/>
    <w:rsid w:val="00E315BC"/>
    <w:rsid w:val="00E43149"/>
    <w:rsid w:val="00E50EA9"/>
    <w:rsid w:val="00E5236D"/>
    <w:rsid w:val="00E52DB2"/>
    <w:rsid w:val="00E6318B"/>
    <w:rsid w:val="00E66C0A"/>
    <w:rsid w:val="00E679DD"/>
    <w:rsid w:val="00E74967"/>
    <w:rsid w:val="00E90DFA"/>
    <w:rsid w:val="00E92003"/>
    <w:rsid w:val="00EA5B3D"/>
    <w:rsid w:val="00EB57B7"/>
    <w:rsid w:val="00EF710D"/>
    <w:rsid w:val="00F205A6"/>
    <w:rsid w:val="00F2071E"/>
    <w:rsid w:val="00F34EC0"/>
    <w:rsid w:val="00F36C85"/>
    <w:rsid w:val="00F5309B"/>
    <w:rsid w:val="00F5458E"/>
    <w:rsid w:val="00F625AE"/>
    <w:rsid w:val="00F66E45"/>
    <w:rsid w:val="00F731F2"/>
    <w:rsid w:val="00F837FD"/>
    <w:rsid w:val="00F8714C"/>
    <w:rsid w:val="00F901AC"/>
    <w:rsid w:val="00F97EE6"/>
    <w:rsid w:val="00FA056D"/>
    <w:rsid w:val="00FD65C9"/>
    <w:rsid w:val="00FF56BD"/>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7F2"/>
  <w15:docId w15:val="{FDB65319-D660-4881-8ECC-6D63E30C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A8"/>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Ttulo1">
    <w:name w:val="heading 1"/>
    <w:basedOn w:val="Normal"/>
    <w:next w:val="Normal"/>
    <w:link w:val="Ttulo1Car"/>
    <w:uiPriority w:val="9"/>
    <w:qFormat/>
    <w:rsid w:val="00D275A8"/>
    <w:pPr>
      <w:keepNext/>
      <w:keepLines/>
      <w:spacing w:before="340" w:after="330" w:line="578" w:lineRule="auto"/>
      <w:outlineLvl w:val="0"/>
    </w:pPr>
    <w:rPr>
      <w:b/>
      <w:bCs/>
      <w:kern w:val="44"/>
      <w:sz w:val="44"/>
      <w:szCs w:val="44"/>
    </w:rPr>
  </w:style>
  <w:style w:type="paragraph" w:styleId="Ttulo2">
    <w:name w:val="heading 2"/>
    <w:basedOn w:val="Normal"/>
    <w:next w:val="Normal"/>
    <w:link w:val="Ttulo2Car"/>
    <w:autoRedefine/>
    <w:qFormat/>
    <w:rsid w:val="00947577"/>
    <w:pPr>
      <w:keepNext/>
      <w:widowControl w:val="0"/>
      <w:numPr>
        <w:ilvl w:val="2"/>
        <w:numId w:val="3"/>
      </w:numPr>
      <w:spacing w:before="240" w:after="60"/>
      <w:outlineLvl w:val="1"/>
    </w:pPr>
    <w:rPr>
      <w:rFonts w:ascii="Arial" w:eastAsiaTheme="majorEastAsia" w:hAnsi="Arial" w:cstheme="majorBidi"/>
      <w:b/>
      <w:bCs/>
      <w:iCs/>
      <w:snapToGrid/>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re2Car">
    <w:name w:val="Titre 2 Car"/>
    <w:rsid w:val="00947577"/>
    <w:rPr>
      <w:rFonts w:ascii="Arial" w:eastAsia="Times New Roman" w:hAnsi="Arial" w:cs="Arial"/>
      <w:b/>
      <w:bCs/>
      <w:iCs/>
      <w:snapToGrid w:val="0"/>
      <w:szCs w:val="28"/>
      <w:lang w:val="en-GB"/>
    </w:rPr>
  </w:style>
  <w:style w:type="character" w:customStyle="1" w:styleId="Ttulo2Car">
    <w:name w:val="Título 2 Car"/>
    <w:basedOn w:val="Fuentedeprrafopredeter"/>
    <w:link w:val="Ttulo2"/>
    <w:rsid w:val="00947577"/>
    <w:rPr>
      <w:rFonts w:ascii="Arial" w:eastAsiaTheme="majorEastAsia" w:hAnsi="Arial" w:cstheme="majorBidi"/>
      <w:b/>
      <w:bCs/>
      <w:iCs/>
      <w:snapToGrid w:val="0"/>
      <w:szCs w:val="28"/>
      <w:lang w:val="en-GB"/>
    </w:rPr>
  </w:style>
  <w:style w:type="paragraph" w:customStyle="1" w:styleId="JCOMM">
    <w:name w:val="JCOMM"/>
    <w:basedOn w:val="Normal"/>
    <w:next w:val="Normal"/>
    <w:qFormat/>
    <w:rsid w:val="00947577"/>
    <w:pPr>
      <w:widowControl w:val="0"/>
      <w:spacing w:before="360" w:after="240"/>
      <w:jc w:val="center"/>
    </w:pPr>
    <w:rPr>
      <w:rFonts w:ascii="Arial" w:eastAsia="MS Mincho" w:hAnsi="Arial"/>
      <w:b/>
      <w:snapToGrid/>
      <w:sz w:val="16"/>
    </w:rPr>
  </w:style>
  <w:style w:type="numbering" w:customStyle="1" w:styleId="JCOMM-list">
    <w:name w:val="JCOMM-list"/>
    <w:uiPriority w:val="99"/>
    <w:rsid w:val="00947577"/>
    <w:pPr>
      <w:numPr>
        <w:numId w:val="3"/>
      </w:numPr>
    </w:pPr>
  </w:style>
  <w:style w:type="paragraph" w:styleId="Textodeglobo">
    <w:name w:val="Balloon Text"/>
    <w:basedOn w:val="Normal"/>
    <w:link w:val="TextodegloboCar"/>
    <w:uiPriority w:val="99"/>
    <w:semiHidden/>
    <w:unhideWhenUsed/>
    <w:rsid w:val="00C81BBE"/>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BBE"/>
    <w:rPr>
      <w:rFonts w:ascii="Tahoma" w:eastAsia="Times New Roman" w:hAnsi="Tahoma" w:cs="Tahoma"/>
      <w:snapToGrid w:val="0"/>
      <w:sz w:val="16"/>
      <w:szCs w:val="16"/>
      <w:lang w:val="en-GB" w:eastAsia="en-US"/>
    </w:rPr>
  </w:style>
  <w:style w:type="paragraph" w:styleId="Encabezado">
    <w:name w:val="header"/>
    <w:basedOn w:val="Normal"/>
    <w:link w:val="EncabezadoCar"/>
    <w:uiPriority w:val="99"/>
    <w:unhideWhenUsed/>
    <w:rsid w:val="0073078E"/>
    <w:pPr>
      <w:tabs>
        <w:tab w:val="clear" w:pos="567"/>
        <w:tab w:val="center" w:pos="4680"/>
        <w:tab w:val="right" w:pos="9360"/>
      </w:tabs>
    </w:pPr>
  </w:style>
  <w:style w:type="character" w:customStyle="1" w:styleId="EncabezadoCar">
    <w:name w:val="Encabezado Car"/>
    <w:basedOn w:val="Fuentedeprrafopredeter"/>
    <w:link w:val="Encabezado"/>
    <w:uiPriority w:val="99"/>
    <w:rsid w:val="0073078E"/>
    <w:rPr>
      <w:rFonts w:ascii="Times New Roman" w:eastAsia="Times New Roman" w:hAnsi="Times New Roman" w:cs="Times New Roman"/>
      <w:snapToGrid w:val="0"/>
      <w:sz w:val="24"/>
      <w:szCs w:val="24"/>
      <w:lang w:val="en-GB" w:eastAsia="en-US"/>
    </w:rPr>
  </w:style>
  <w:style w:type="paragraph" w:styleId="Piedepgina">
    <w:name w:val="footer"/>
    <w:basedOn w:val="Normal"/>
    <w:link w:val="PiedepginaCar"/>
    <w:uiPriority w:val="99"/>
    <w:unhideWhenUsed/>
    <w:rsid w:val="0073078E"/>
    <w:pPr>
      <w:tabs>
        <w:tab w:val="clear" w:pos="567"/>
        <w:tab w:val="center" w:pos="4680"/>
        <w:tab w:val="right" w:pos="9360"/>
      </w:tabs>
    </w:pPr>
  </w:style>
  <w:style w:type="character" w:customStyle="1" w:styleId="PiedepginaCar">
    <w:name w:val="Pie de página Car"/>
    <w:basedOn w:val="Fuentedeprrafopredeter"/>
    <w:link w:val="Piedepgina"/>
    <w:uiPriority w:val="99"/>
    <w:rsid w:val="0073078E"/>
    <w:rPr>
      <w:rFonts w:ascii="Times New Roman" w:eastAsia="Times New Roman" w:hAnsi="Times New Roman" w:cs="Times New Roman"/>
      <w:snapToGrid w:val="0"/>
      <w:sz w:val="24"/>
      <w:szCs w:val="24"/>
      <w:lang w:val="en-GB" w:eastAsia="en-US"/>
    </w:rPr>
  </w:style>
  <w:style w:type="character" w:styleId="Refdenotaalpie">
    <w:name w:val="footnote reference"/>
    <w:rsid w:val="004B1009"/>
    <w:rPr>
      <w:vertAlign w:val="superscript"/>
    </w:rPr>
  </w:style>
  <w:style w:type="paragraph" w:styleId="Textonotapie">
    <w:name w:val="footnote text"/>
    <w:basedOn w:val="Normal"/>
    <w:link w:val="TextonotapieCar"/>
    <w:uiPriority w:val="99"/>
    <w:rsid w:val="004B1009"/>
    <w:pPr>
      <w:tabs>
        <w:tab w:val="clear" w:pos="567"/>
        <w:tab w:val="left" w:pos="709"/>
      </w:tabs>
      <w:ind w:left="567" w:hanging="567"/>
    </w:pPr>
    <w:rPr>
      <w:sz w:val="20"/>
      <w:szCs w:val="20"/>
      <w:lang w:val="fr-FR"/>
    </w:rPr>
  </w:style>
  <w:style w:type="character" w:customStyle="1" w:styleId="TextonotapieCar">
    <w:name w:val="Texto nota pie Car"/>
    <w:basedOn w:val="Fuentedeprrafopredeter"/>
    <w:link w:val="Textonotapie"/>
    <w:uiPriority w:val="99"/>
    <w:rsid w:val="004B1009"/>
    <w:rPr>
      <w:rFonts w:ascii="Times New Roman" w:eastAsia="Times New Roman" w:hAnsi="Times New Roman" w:cs="Times New Roman"/>
      <w:snapToGrid w:val="0"/>
      <w:sz w:val="20"/>
      <w:szCs w:val="20"/>
      <w:lang w:eastAsia="en-US"/>
    </w:rPr>
  </w:style>
  <w:style w:type="paragraph" w:customStyle="1" w:styleId="COI">
    <w:name w:val="COI"/>
    <w:basedOn w:val="Normal"/>
    <w:link w:val="COIChar"/>
    <w:rsid w:val="004B1009"/>
    <w:pPr>
      <w:tabs>
        <w:tab w:val="clear" w:pos="567"/>
        <w:tab w:val="left" w:pos="709"/>
      </w:tabs>
      <w:spacing w:after="240"/>
      <w:ind w:left="720" w:hanging="360"/>
      <w:jc w:val="both"/>
    </w:pPr>
    <w:rPr>
      <w:lang w:val="fr-FR"/>
    </w:rPr>
  </w:style>
  <w:style w:type="character" w:customStyle="1" w:styleId="COIChar">
    <w:name w:val="COI Char"/>
    <w:link w:val="COI"/>
    <w:rsid w:val="004B1009"/>
    <w:rPr>
      <w:rFonts w:ascii="Times New Roman" w:eastAsia="Times New Roman" w:hAnsi="Times New Roman" w:cs="Times New Roman"/>
      <w:snapToGrid w:val="0"/>
      <w:sz w:val="24"/>
      <w:szCs w:val="24"/>
      <w:lang w:eastAsia="en-US"/>
    </w:rPr>
  </w:style>
  <w:style w:type="paragraph" w:customStyle="1" w:styleId="Listnumbered">
    <w:name w:val="List numbered"/>
    <w:basedOn w:val="Listaconvietas2"/>
    <w:autoRedefine/>
    <w:rsid w:val="004B1009"/>
    <w:pPr>
      <w:tabs>
        <w:tab w:val="num" w:pos="360"/>
        <w:tab w:val="left" w:pos="709"/>
      </w:tabs>
      <w:spacing w:after="240"/>
      <w:contextualSpacing w:val="0"/>
    </w:pPr>
    <w:rPr>
      <w:rFonts w:ascii="Arial" w:hAnsi="Arial"/>
      <w:sz w:val="22"/>
      <w:lang w:val="fr-FR"/>
    </w:rPr>
  </w:style>
  <w:style w:type="paragraph" w:customStyle="1" w:styleId="Listecouleur-Accent11">
    <w:name w:val="Liste couleur - Accent 11"/>
    <w:basedOn w:val="Normal"/>
    <w:qFormat/>
    <w:rsid w:val="004B1009"/>
    <w:pPr>
      <w:ind w:left="720"/>
      <w:contextualSpacing/>
    </w:pPr>
    <w:rPr>
      <w:rFonts w:ascii="Arial" w:hAnsi="Arial"/>
      <w:snapToGrid/>
      <w:sz w:val="22"/>
    </w:rPr>
  </w:style>
  <w:style w:type="paragraph" w:styleId="Listaconvietas2">
    <w:name w:val="List Bullet 2"/>
    <w:basedOn w:val="Normal"/>
    <w:uiPriority w:val="99"/>
    <w:semiHidden/>
    <w:unhideWhenUsed/>
    <w:rsid w:val="004B1009"/>
    <w:pPr>
      <w:ind w:left="1290" w:hanging="720"/>
      <w:contextualSpacing/>
    </w:pPr>
  </w:style>
  <w:style w:type="paragraph" w:styleId="Prrafodelista">
    <w:name w:val="List Paragraph"/>
    <w:basedOn w:val="Normal"/>
    <w:uiPriority w:val="34"/>
    <w:qFormat/>
    <w:rsid w:val="004B1009"/>
    <w:pPr>
      <w:ind w:left="720"/>
      <w:contextualSpacing/>
    </w:pPr>
  </w:style>
  <w:style w:type="paragraph" w:styleId="Textoindependiente">
    <w:name w:val="Body Text"/>
    <w:basedOn w:val="Normal"/>
    <w:link w:val="TextoindependienteCar"/>
    <w:uiPriority w:val="99"/>
    <w:semiHidden/>
    <w:unhideWhenUsed/>
    <w:rsid w:val="005533C7"/>
    <w:pPr>
      <w:spacing w:after="120"/>
    </w:pPr>
  </w:style>
  <w:style w:type="character" w:customStyle="1" w:styleId="TextoindependienteCar">
    <w:name w:val="Texto independiente Car"/>
    <w:basedOn w:val="Fuentedeprrafopredeter"/>
    <w:link w:val="Textoindependiente"/>
    <w:uiPriority w:val="99"/>
    <w:semiHidden/>
    <w:rsid w:val="005533C7"/>
    <w:rPr>
      <w:rFonts w:ascii="Times New Roman" w:eastAsia="Times New Roman" w:hAnsi="Times New Roman" w:cs="Times New Roman"/>
      <w:snapToGrid w:val="0"/>
      <w:sz w:val="24"/>
      <w:szCs w:val="24"/>
      <w:lang w:val="en-GB" w:eastAsia="en-US"/>
    </w:rPr>
  </w:style>
  <w:style w:type="character" w:customStyle="1" w:styleId="Ttulo1Car">
    <w:name w:val="Título 1 Car"/>
    <w:basedOn w:val="Fuentedeprrafopredeter"/>
    <w:link w:val="Ttulo1"/>
    <w:uiPriority w:val="9"/>
    <w:rsid w:val="00D275A8"/>
    <w:rPr>
      <w:rFonts w:ascii="Times New Roman" w:eastAsia="Times New Roman" w:hAnsi="Times New Roman" w:cs="Times New Roman"/>
      <w:b/>
      <w:bCs/>
      <w:snapToGrid w:val="0"/>
      <w:kern w:val="44"/>
      <w:sz w:val="44"/>
      <w:szCs w:val="44"/>
      <w:lang w:val="en-GB" w:eastAsia="en-US"/>
    </w:rPr>
  </w:style>
  <w:style w:type="paragraph" w:styleId="NormalWeb">
    <w:name w:val="Normal (Web)"/>
    <w:basedOn w:val="Normal"/>
    <w:uiPriority w:val="99"/>
    <w:unhideWhenUsed/>
    <w:rsid w:val="00A94BC2"/>
    <w:pPr>
      <w:tabs>
        <w:tab w:val="clear" w:pos="567"/>
      </w:tabs>
      <w:snapToGrid/>
      <w:spacing w:before="100" w:beforeAutospacing="1" w:after="100" w:afterAutospacing="1"/>
    </w:pPr>
    <w:rPr>
      <w:snapToGrid/>
      <w:lang w:val="en-US"/>
    </w:rPr>
  </w:style>
  <w:style w:type="paragraph" w:styleId="Revisin">
    <w:name w:val="Revision"/>
    <w:hidden/>
    <w:uiPriority w:val="99"/>
    <w:semiHidden/>
    <w:rsid w:val="00827259"/>
    <w:pPr>
      <w:spacing w:after="0" w:line="240" w:lineRule="auto"/>
    </w:pPr>
    <w:rPr>
      <w:rFonts w:ascii="Times New Roman" w:eastAsia="Times New Roman" w:hAnsi="Times New Roman" w:cs="Times New Roman"/>
      <w:snapToGrid w:val="0"/>
      <w:sz w:val="24"/>
      <w:szCs w:val="24"/>
      <w:lang w:val="en-GB" w:eastAsia="en-US"/>
    </w:rPr>
  </w:style>
  <w:style w:type="character" w:styleId="Refdecomentario">
    <w:name w:val="annotation reference"/>
    <w:basedOn w:val="Fuentedeprrafopredeter"/>
    <w:uiPriority w:val="99"/>
    <w:semiHidden/>
    <w:unhideWhenUsed/>
    <w:rsid w:val="00B2159F"/>
    <w:rPr>
      <w:sz w:val="16"/>
      <w:szCs w:val="16"/>
    </w:rPr>
  </w:style>
  <w:style w:type="paragraph" w:styleId="Textocomentario">
    <w:name w:val="annotation text"/>
    <w:basedOn w:val="Normal"/>
    <w:link w:val="TextocomentarioCar"/>
    <w:uiPriority w:val="99"/>
    <w:unhideWhenUsed/>
    <w:rsid w:val="00B2159F"/>
    <w:rPr>
      <w:sz w:val="20"/>
      <w:szCs w:val="20"/>
    </w:rPr>
  </w:style>
  <w:style w:type="character" w:customStyle="1" w:styleId="TextocomentarioCar">
    <w:name w:val="Texto comentario Car"/>
    <w:basedOn w:val="Fuentedeprrafopredeter"/>
    <w:link w:val="Textocomentario"/>
    <w:uiPriority w:val="99"/>
    <w:rsid w:val="00B2159F"/>
    <w:rPr>
      <w:rFonts w:ascii="Times New Roman" w:eastAsia="Times New Roman" w:hAnsi="Times New Roman" w:cs="Times New Roman"/>
      <w:snapToGrid w:val="0"/>
      <w:sz w:val="20"/>
      <w:szCs w:val="20"/>
      <w:lang w:val="en-GB" w:eastAsia="en-US"/>
    </w:rPr>
  </w:style>
  <w:style w:type="paragraph" w:styleId="Asuntodelcomentario">
    <w:name w:val="annotation subject"/>
    <w:basedOn w:val="Textocomentario"/>
    <w:next w:val="Textocomentario"/>
    <w:link w:val="AsuntodelcomentarioCar"/>
    <w:uiPriority w:val="99"/>
    <w:semiHidden/>
    <w:unhideWhenUsed/>
    <w:rsid w:val="00B2159F"/>
    <w:rPr>
      <w:b/>
      <w:bCs/>
    </w:rPr>
  </w:style>
  <w:style w:type="character" w:customStyle="1" w:styleId="AsuntodelcomentarioCar">
    <w:name w:val="Asunto del comentario Car"/>
    <w:basedOn w:val="TextocomentarioCar"/>
    <w:link w:val="Asuntodelcomentario"/>
    <w:uiPriority w:val="99"/>
    <w:semiHidden/>
    <w:rsid w:val="00B2159F"/>
    <w:rPr>
      <w:rFonts w:ascii="Times New Roman" w:eastAsia="Times New Roman" w:hAnsi="Times New Roman" w:cs="Times New Roman"/>
      <w:b/>
      <w:bCs/>
      <w:snapToGrid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B348-8D1F-455D-9933-5266C71B99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37</TotalTime>
  <Pages>4</Pages>
  <Words>1519</Words>
  <Characters>8162</Characters>
  <Application>Microsoft Office Word</Application>
  <DocSecurity>0</DocSecurity>
  <Lines>120</Lines>
  <Paragraphs>46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PROYECTO DE RESOLUCIÓN A-33/DR. [3.3.1]_x000d_
Presentado por: Comoras, Guinea, Kenya, Liberia, Namibia, Nigeria, República Democrática del Congo, Senegal, Sudáfrica y Togo_x000d_
FORTALECIMIENTO DE LA SECRETARÍA DE IOCAFRICA: UN IMPERATIVO ESTRATÉGICO PARA FOMENTAR </vt:lpstr>
      <vt:lpstr/>
      <vt:lpstr/>
    </vt:vector>
  </TitlesOfParts>
  <Company>Hewlett-Packard Company</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A-33/DR. [3.3.1]_x000d_
Presentado por: Comoras, Guinea, Kenya, Liberia, Namibia, Nigeria, República Democrática del Congo, Senegal, Sudáfrica y Togo_x000d_
FORTALECIMIENTO DE LA SECRETARÍA DE IOCAFRICA: UN IMPERATIVO ESTRATÉGICO PARA FOMENTAR LAS CIENCIAS OCEÁNICAS Y LA GOBERNANZA DEL OCÉANO EN ÁFRICA Y LOS ESTADOS INSULARES ADYACENTES</dc:title>
  <dc:subject>IOC/A-33/DR.[3.3.1]</dc:subject>
  <dc:creator>Delegation Kenya</dc:creator>
  <dc:description/>
  <cp:lastModifiedBy>Burgos Pratx, Juan Pablo</cp:lastModifiedBy>
  <cp:revision>6</cp:revision>
  <cp:lastPrinted>2025-06-30T13:23:00Z</cp:lastPrinted>
  <dcterms:created xsi:type="dcterms:W3CDTF">2025-07-03T07:30:00Z</dcterms:created>
  <dcterms:modified xsi:type="dcterms:W3CDTF">2025-07-03T08:15:00Z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b0e6f0c5-2294-4c2c-90fa-1647aefdfb7d</vt:lpwstr>
  </property>
  <property fmtid="{D5CDD505-2E9C-101B-9397-08002B2CF9AE}" pid="3" name="TranslatedWith">
    <vt:lpwstr>Mercury</vt:lpwstr>
  </property>
  <property fmtid="{D5CDD505-2E9C-101B-9397-08002B2CF9AE}" pid="4" name="GeneratedBy">
    <vt:lpwstr>md.bercial@unesco.org</vt:lpwstr>
  </property>
  <property fmtid="{D5CDD505-2E9C-101B-9397-08002B2CF9AE}" pid="5" name="GeneratedDate">
    <vt:lpwstr>07/01/2025 15:46:24</vt:lpwstr>
  </property>
  <property fmtid="{D5CDD505-2E9C-101B-9397-08002B2CF9AE}" pid="6" name="OriginalDocID">
    <vt:lpwstr>949e7156-9d2c-4f80-a762-c7a947eb8aed</vt:lpwstr>
  </property>
  <property fmtid="{D5CDD505-2E9C-101B-9397-08002B2CF9AE}" pid="7" name="Language">
    <vt:lpwstr>S</vt:lpwstr>
  </property>
  <property fmtid="{D5CDD505-2E9C-101B-9397-08002B2CF9AE}" pid="8" name="JobNumber">
    <vt:lpwstr>2500546S</vt:lpwstr>
  </property>
  <property fmtid="{D5CDD505-2E9C-101B-9397-08002B2CF9AE}" pid="9" name="ForceJobNumber">
    <vt:bool>false</vt:bool>
  </property>
</Properties>
</file>