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6345"/>
        <w:gridCol w:w="3289"/>
      </w:tblGrid>
      <w:tr w:rsidR="00C31B49" w:rsidRPr="00155ADC" w14:paraId="6C9DC323" w14:textId="77777777" w:rsidTr="005908A6">
        <w:tc>
          <w:tcPr>
            <w:tcW w:w="6345" w:type="dxa"/>
          </w:tcPr>
          <w:p w14:paraId="6248541C" w14:textId="77777777" w:rsidR="00C31B49" w:rsidRPr="00A33F60" w:rsidRDefault="00C31B49" w:rsidP="005908A6">
            <w:pPr>
              <w:ind w:left="-105"/>
              <w:rPr>
                <w:rFonts w:eastAsia="Times New Roman" w:cs="Arial"/>
                <w:sz w:val="24"/>
                <w:lang w:eastAsia="en-US"/>
              </w:rPr>
            </w:pPr>
            <w:r w:rsidRPr="000F120E">
              <w:rPr>
                <w:rFonts w:eastAsia="Times New Roman" w:cs="Arial"/>
                <w:szCs w:val="22"/>
                <w:lang w:val="es-ES_tradnl" w:eastAsia="en-US"/>
              </w:rPr>
              <w:t>Distribución limitada</w:t>
            </w:r>
          </w:p>
        </w:tc>
        <w:tc>
          <w:tcPr>
            <w:tcW w:w="3289" w:type="dxa"/>
          </w:tcPr>
          <w:p w14:paraId="0BCFAD93" w14:textId="77777777" w:rsidR="00C31B49" w:rsidRPr="000F120E" w:rsidRDefault="00C31B49" w:rsidP="005908A6">
            <w:pPr>
              <w:tabs>
                <w:tab w:val="clear" w:pos="567"/>
              </w:tabs>
              <w:ind w:left="494" w:right="-603"/>
              <w:rPr>
                <w:rFonts w:eastAsia="Times New Roman" w:cs="Arial"/>
                <w:b/>
                <w:sz w:val="24"/>
                <w:lang w:val="es-ES_tradnl" w:eastAsia="en-US"/>
              </w:rPr>
            </w:pPr>
            <w:r w:rsidRPr="000F120E">
              <w:rPr>
                <w:rFonts w:eastAsia="Times New Roman" w:cs="Arial"/>
                <w:b/>
                <w:szCs w:val="22"/>
                <w:lang w:val="es-ES_tradnl" w:eastAsia="en-US"/>
              </w:rPr>
              <w:t>IOC/A-33/DR.[4.8]</w:t>
            </w:r>
          </w:p>
          <w:p w14:paraId="3942A8B5" w14:textId="1C7B0E3B" w:rsidR="00C31B49" w:rsidRPr="000F120E" w:rsidRDefault="00C31B49" w:rsidP="005908A6">
            <w:pPr>
              <w:tabs>
                <w:tab w:val="clear" w:pos="567"/>
              </w:tabs>
              <w:ind w:left="494"/>
              <w:rPr>
                <w:rFonts w:eastAsia="Times New Roman" w:cs="Arial"/>
                <w:sz w:val="24"/>
                <w:lang w:val="es-ES_tradnl" w:eastAsia="en-US"/>
              </w:rPr>
            </w:pPr>
            <w:r w:rsidRPr="000F120E">
              <w:rPr>
                <w:rFonts w:eastAsia="Times New Roman" w:cs="Arial"/>
                <w:szCs w:val="22"/>
                <w:lang w:val="es-ES_tradnl" w:eastAsia="en-US"/>
              </w:rPr>
              <w:t xml:space="preserve">París, </w:t>
            </w:r>
            <w:r w:rsidR="00155ADC">
              <w:rPr>
                <w:rFonts w:eastAsia="Times New Roman" w:cs="Arial"/>
                <w:szCs w:val="22"/>
                <w:lang w:val="es-ES_tradnl" w:eastAsia="en-US"/>
              </w:rPr>
              <w:t>1</w:t>
            </w:r>
            <w:r w:rsidR="00155ADC" w:rsidRPr="000F120E">
              <w:rPr>
                <w:rFonts w:eastAsia="Times New Roman" w:cs="Arial"/>
                <w:szCs w:val="22"/>
                <w:lang w:val="es-ES_tradnl" w:eastAsia="en-US"/>
              </w:rPr>
              <w:t xml:space="preserve"> </w:t>
            </w:r>
            <w:r w:rsidRPr="000F120E">
              <w:rPr>
                <w:rFonts w:eastAsia="Times New Roman" w:cs="Arial"/>
                <w:szCs w:val="22"/>
                <w:lang w:val="es-ES_tradnl" w:eastAsia="en-US"/>
              </w:rPr>
              <w:t xml:space="preserve">de </w:t>
            </w:r>
            <w:r w:rsidR="00155ADC">
              <w:rPr>
                <w:rFonts w:eastAsia="Times New Roman" w:cs="Arial"/>
                <w:szCs w:val="22"/>
                <w:lang w:val="es-ES_tradnl" w:eastAsia="en-US"/>
              </w:rPr>
              <w:t>julio</w:t>
            </w:r>
            <w:r w:rsidR="00155ADC" w:rsidRPr="000F120E">
              <w:rPr>
                <w:rFonts w:eastAsia="Times New Roman" w:cs="Arial"/>
                <w:szCs w:val="22"/>
                <w:lang w:val="es-ES_tradnl" w:eastAsia="en-US"/>
              </w:rPr>
              <w:t xml:space="preserve"> </w:t>
            </w:r>
            <w:r w:rsidRPr="000F120E">
              <w:rPr>
                <w:rFonts w:eastAsia="Times New Roman" w:cs="Arial"/>
                <w:szCs w:val="22"/>
                <w:lang w:val="es-ES_tradnl" w:eastAsia="en-US"/>
              </w:rPr>
              <w:t>de 2025</w:t>
            </w:r>
          </w:p>
          <w:p w14:paraId="4D4F0C75" w14:textId="77777777" w:rsidR="00C31B49" w:rsidRPr="006D2276" w:rsidRDefault="00C31B49" w:rsidP="005908A6">
            <w:pPr>
              <w:tabs>
                <w:tab w:val="clear" w:pos="567"/>
              </w:tabs>
              <w:spacing w:after="120"/>
              <w:ind w:left="494"/>
              <w:rPr>
                <w:rFonts w:eastAsia="Times New Roman" w:cs="Arial"/>
                <w:sz w:val="24"/>
                <w:lang w:val="es-ES" w:eastAsia="en-US"/>
              </w:rPr>
            </w:pPr>
            <w:r w:rsidRPr="006D2276">
              <w:rPr>
                <w:rFonts w:eastAsia="Times New Roman" w:cs="Arial"/>
                <w:szCs w:val="22"/>
                <w:lang w:val="es-ES" w:eastAsia="en-US"/>
              </w:rPr>
              <w:t>Original: inglés</w:t>
            </w:r>
          </w:p>
        </w:tc>
      </w:tr>
    </w:tbl>
    <w:p w14:paraId="7B53FF5C" w14:textId="77777777" w:rsidR="00C31B49" w:rsidRPr="00A33F60" w:rsidRDefault="00C31B49" w:rsidP="00C31B49">
      <w:pPr>
        <w:spacing w:before="240" w:after="120" w:line="360" w:lineRule="auto"/>
        <w:rPr>
          <w:rFonts w:eastAsia="Calibri" w:cs="Arial"/>
          <w:b/>
          <w:szCs w:val="22"/>
          <w:lang w:eastAsia="en-US"/>
        </w:rPr>
      </w:pPr>
      <w:r w:rsidRPr="000F120E">
        <w:rPr>
          <w:rFonts w:eastAsia="Calibri" w:cs="Arial"/>
          <w:b/>
          <w:bCs/>
          <w:szCs w:val="22"/>
          <w:lang w:val="es-ES_tradnl" w:eastAsia="en-US"/>
        </w:rPr>
        <w:t>PROYECTO DE RESOLUCIÓN</w:t>
      </w:r>
      <w:r w:rsidRPr="00A33F60">
        <w:rPr>
          <w:rFonts w:eastAsia="Calibri" w:cs="Arial"/>
          <w:b/>
          <w:szCs w:val="22"/>
          <w:lang w:eastAsia="en-US"/>
        </w:rPr>
        <w:t xml:space="preserve"> </w:t>
      </w:r>
      <w:r w:rsidRPr="00A33F60">
        <w:rPr>
          <w:rFonts w:eastAsia="Times New Roman" w:cs="Arial"/>
          <w:b/>
          <w:szCs w:val="22"/>
          <w:lang w:eastAsia="en-US"/>
        </w:rPr>
        <w:t>A-33/[4.8]</w:t>
      </w:r>
    </w:p>
    <w:p w14:paraId="6078711E" w14:textId="200FFD23" w:rsidR="00C31B49" w:rsidRPr="006D2276" w:rsidRDefault="00C31B49" w:rsidP="00C31B49">
      <w:pPr>
        <w:spacing w:before="240" w:after="240" w:line="360" w:lineRule="auto"/>
        <w:rPr>
          <w:rFonts w:eastAsia="Calibri" w:cs="Arial"/>
          <w:szCs w:val="22"/>
          <w:lang w:val="es-ES" w:eastAsia="en-US"/>
        </w:rPr>
      </w:pPr>
      <w:r w:rsidRPr="000F120E">
        <w:rPr>
          <w:rFonts w:eastAsia="Calibri" w:cs="Arial"/>
          <w:szCs w:val="22"/>
          <w:lang w:val="es-ES_tradnl" w:eastAsia="en-US"/>
        </w:rPr>
        <w:t>Presentado por Mónaco</w:t>
      </w:r>
      <w:r w:rsidR="00C2143B">
        <w:rPr>
          <w:rFonts w:eastAsia="Calibri" w:cs="Arial"/>
          <w:szCs w:val="22"/>
          <w:lang w:val="es-ES_tradnl" w:eastAsia="en-US"/>
        </w:rPr>
        <w:t>, Portugal</w:t>
      </w:r>
    </w:p>
    <w:p w14:paraId="0798801E" w14:textId="77777777" w:rsidR="00C31B49" w:rsidRPr="000F120E" w:rsidRDefault="00C31B49" w:rsidP="00C31B49">
      <w:pPr>
        <w:spacing w:after="360"/>
        <w:ind w:right="-284"/>
        <w:rPr>
          <w:rFonts w:eastAsiaTheme="majorEastAsia" w:cs="Arial"/>
          <w:b/>
          <w:bCs/>
          <w:iCs/>
          <w:caps/>
          <w:snapToGrid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color w:val="000000"/>
          <w:szCs w:val="22"/>
          <w:lang w:val="es-ES_tradnl" w:eastAsia="en-US"/>
        </w:rPr>
        <w:t>EJECUCIÓN DEL DECENIO DE LAS NACIONES UNIDAS DE LAS CIENCIAS OCEÁNICAS PARA EL DESARROLLO SOSTENIBLE (2021-2030)</w:t>
      </w:r>
    </w:p>
    <w:p w14:paraId="0077A7D0" w14:textId="77777777" w:rsidR="00C31B49" w:rsidRPr="006D2276" w:rsidRDefault="00C31B49" w:rsidP="00C31B49">
      <w:pPr>
        <w:spacing w:after="240" w:line="360" w:lineRule="auto"/>
        <w:rPr>
          <w:rFonts w:eastAsia="Times New Roman" w:cs="Arial"/>
          <w:iCs/>
          <w:szCs w:val="22"/>
          <w:lang w:val="es-ES" w:eastAsia="en-US"/>
        </w:rPr>
      </w:pPr>
      <w:r w:rsidRPr="000F120E">
        <w:rPr>
          <w:rFonts w:eastAsia="Times New Roman" w:cs="Arial"/>
          <w:snapToGrid/>
          <w:szCs w:val="22"/>
          <w:lang w:val="es-ES_tradnl" w:eastAsia="en-US"/>
        </w:rPr>
        <w:t>La Comisión Oceanográfica Intergubernamental,</w:t>
      </w:r>
    </w:p>
    <w:p w14:paraId="096D90C9" w14:textId="77777777" w:rsidR="00C31B49" w:rsidRPr="006D2276" w:rsidRDefault="00C31B49" w:rsidP="00C31B49">
      <w:pPr>
        <w:spacing w:after="240" w:line="360" w:lineRule="auto"/>
        <w:jc w:val="center"/>
        <w:rPr>
          <w:rFonts w:eastAsia="Times New Roman" w:cs="Arial"/>
          <w:b/>
          <w:bCs/>
          <w:iCs/>
          <w:szCs w:val="22"/>
          <w:lang w:val="es-ES" w:eastAsia="en-US"/>
        </w:rPr>
      </w:pPr>
      <w:r w:rsidRPr="006D2276">
        <w:rPr>
          <w:rFonts w:eastAsia="Times New Roman" w:cs="Arial"/>
          <w:b/>
          <w:bCs/>
          <w:iCs/>
          <w:szCs w:val="22"/>
          <w:lang w:val="es-ES" w:eastAsia="en-US"/>
        </w:rPr>
        <w:t>Parte I</w:t>
      </w:r>
    </w:p>
    <w:p w14:paraId="4B5827AB" w14:textId="77777777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szCs w:val="22"/>
          <w:lang w:val="es-ES_tradnl" w:eastAsia="en-US"/>
        </w:rPr>
        <w:t>Recordando</w:t>
      </w:r>
      <w:r w:rsidRPr="000F120E">
        <w:rPr>
          <w:rFonts w:eastAsia="Times New Roman" w:cs="Arial"/>
          <w:szCs w:val="22"/>
          <w:lang w:val="es-ES_tradnl" w:eastAsia="en-US"/>
        </w:rPr>
        <w:t xml:space="preserve"> las resoluciones EC-53/1, A-31/1, A-32/3, EC-55/1 y EC-57/1 de la COI, relativas a la ejecución del Decenio de las Naciones Unidas de las Ciencias Oceánicas para el Desarrollo Sostenible (2021-2030) (en adelante “el Decenio”),</w:t>
      </w:r>
    </w:p>
    <w:p w14:paraId="0FF69664" w14:textId="1CB4C4BE" w:rsidR="00C31B49" w:rsidRPr="000F120E" w:rsidRDefault="00C31B49" w:rsidP="00C31B49">
      <w:pPr>
        <w:numPr>
          <w:ilvl w:val="0"/>
          <w:numId w:val="11"/>
        </w:numPr>
        <w:spacing w:after="240"/>
        <w:ind w:left="0" w:right="-1" w:hanging="567"/>
        <w:jc w:val="both"/>
        <w:rPr>
          <w:rFonts w:eastAsia="Times New Roman" w:cs="Arial"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szCs w:val="22"/>
          <w:lang w:val="es-ES_tradnl" w:eastAsia="en-US"/>
        </w:rPr>
        <w:t>Considerando</w:t>
      </w:r>
      <w:r w:rsidRPr="000F120E">
        <w:rPr>
          <w:rFonts w:eastAsia="Times New Roman" w:cs="Arial"/>
          <w:szCs w:val="22"/>
          <w:lang w:val="es-ES_tradnl" w:eastAsia="en-US"/>
        </w:rPr>
        <w:t xml:space="preserve"> el documento IOC/A-33/4.8.Doc(1) </w:t>
      </w:r>
      <w:r w:rsidR="00155ADC">
        <w:rPr>
          <w:rFonts w:eastAsia="Times New Roman" w:cs="Arial"/>
          <w:szCs w:val="22"/>
          <w:lang w:val="es-ES_tradnl" w:eastAsia="en-US"/>
        </w:rPr>
        <w:t>relativo a</w:t>
      </w:r>
      <w:r w:rsidR="00155ADC" w:rsidRPr="000F120E">
        <w:rPr>
          <w:rFonts w:eastAsia="Times New Roman" w:cs="Arial"/>
          <w:szCs w:val="22"/>
          <w:lang w:val="es-ES_tradnl" w:eastAsia="en-US"/>
        </w:rPr>
        <w:t xml:space="preserve"> </w:t>
      </w:r>
      <w:r w:rsidR="00155ADC">
        <w:rPr>
          <w:rFonts w:eastAsia="Times New Roman" w:cs="Arial"/>
          <w:szCs w:val="22"/>
          <w:lang w:val="es-ES_tradnl" w:eastAsia="en-US"/>
        </w:rPr>
        <w:t>la</w:t>
      </w:r>
      <w:r w:rsidRPr="000F120E">
        <w:rPr>
          <w:rFonts w:eastAsia="Times New Roman" w:cs="Arial"/>
          <w:szCs w:val="22"/>
          <w:lang w:val="es-ES_tradnl" w:eastAsia="en-US"/>
        </w:rPr>
        <w:t xml:space="preserve"> ejecución del Decenio de las Naciones Unidas de las Ciencias Oceánicas para el Desarrollo Sostenible,</w:t>
      </w:r>
    </w:p>
    <w:p w14:paraId="01F42C3C" w14:textId="4F9267EE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szCs w:val="22"/>
          <w:lang w:val="es-ES_tradnl" w:eastAsia="en-US"/>
        </w:rPr>
        <w:t>Reconoc</w:t>
      </w:r>
      <w:r w:rsidR="00155ADC">
        <w:rPr>
          <w:rFonts w:eastAsia="Times New Roman" w:cs="Arial"/>
          <w:b/>
          <w:bCs/>
          <w:szCs w:val="22"/>
          <w:lang w:val="es-ES_tradnl" w:eastAsia="en-US"/>
        </w:rPr>
        <w:t>iendo</w:t>
      </w:r>
      <w:r w:rsidRPr="000F120E">
        <w:rPr>
          <w:rFonts w:eastAsia="Times New Roman" w:cs="Arial"/>
          <w:szCs w:val="22"/>
          <w:lang w:val="es-ES_tradnl" w:eastAsia="en-US"/>
        </w:rPr>
        <w:t xml:space="preserve"> la importancia de que los Estados Miembros y los asociados presten un mayor apoyo al Decenio para que pueda alcanzar sus ambiciones durante la segunda mitad de su ejecución</w:t>
      </w:r>
      <w:r w:rsidR="00155ADC">
        <w:rPr>
          <w:rFonts w:eastAsia="Times New Roman" w:cs="Arial"/>
          <w:szCs w:val="22"/>
          <w:lang w:val="es-ES_tradnl" w:eastAsia="en-US"/>
        </w:rPr>
        <w:t>,</w:t>
      </w:r>
    </w:p>
    <w:p w14:paraId="0F51AC3A" w14:textId="07179D1F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szCs w:val="22"/>
          <w:lang w:val="es-ES_tradnl" w:eastAsia="en-US"/>
        </w:rPr>
        <w:t>Toma</w:t>
      </w:r>
      <w:r w:rsidR="00155ADC">
        <w:rPr>
          <w:rFonts w:eastAsia="Times New Roman" w:cs="Arial"/>
          <w:b/>
          <w:bCs/>
          <w:szCs w:val="22"/>
          <w:lang w:val="es-ES_tradnl" w:eastAsia="en-US"/>
        </w:rPr>
        <w:t>ndo</w:t>
      </w:r>
      <w:r w:rsidRPr="000F120E">
        <w:rPr>
          <w:rFonts w:eastAsia="Times New Roman" w:cs="Arial"/>
          <w:b/>
          <w:bCs/>
          <w:szCs w:val="22"/>
          <w:lang w:val="es-ES_tradnl" w:eastAsia="en-US"/>
        </w:rPr>
        <w:t xml:space="preserve"> nota con satisfacción</w:t>
      </w:r>
      <w:r w:rsidRPr="000F120E">
        <w:rPr>
          <w:rFonts w:eastAsia="Times New Roman" w:cs="Arial"/>
          <w:szCs w:val="22"/>
          <w:lang w:val="es-ES_tradnl" w:eastAsia="en-US"/>
        </w:rPr>
        <w:t xml:space="preserve"> de la contribución de la Junta Asesora del Decenio a la ejecución y el desarrollo estratégico del Decenio de conformidad con su mandato, </w:t>
      </w:r>
      <w:r w:rsidR="00155ADC" w:rsidRPr="006D2276">
        <w:rPr>
          <w:rFonts w:eastAsia="Times New Roman" w:cs="Arial"/>
          <w:b/>
          <w:bCs/>
          <w:szCs w:val="22"/>
          <w:lang w:val="es-ES_tradnl" w:eastAsia="en-US"/>
        </w:rPr>
        <w:t>observando</w:t>
      </w:r>
      <w:r w:rsidRPr="000F120E">
        <w:rPr>
          <w:rFonts w:eastAsia="Times New Roman" w:cs="Arial"/>
          <w:szCs w:val="22"/>
          <w:lang w:val="es-ES_tradnl" w:eastAsia="en-US"/>
        </w:rPr>
        <w:t xml:space="preserve"> que el mandato de la Junta actual finalizará en diciembre de 2025 y </w:t>
      </w:r>
      <w:r w:rsidR="00155ADC" w:rsidRPr="006D2276">
        <w:rPr>
          <w:rFonts w:eastAsia="Times New Roman" w:cs="Arial"/>
          <w:b/>
          <w:bCs/>
          <w:szCs w:val="22"/>
          <w:lang w:val="es-ES_tradnl" w:eastAsia="en-US"/>
        </w:rPr>
        <w:t>expresando su agradecimiento</w:t>
      </w:r>
      <w:r w:rsidRPr="000F120E">
        <w:rPr>
          <w:rFonts w:eastAsia="Times New Roman" w:cs="Arial"/>
          <w:szCs w:val="22"/>
          <w:lang w:val="es-ES_tradnl" w:eastAsia="en-US"/>
        </w:rPr>
        <w:t xml:space="preserve"> a todos los miembros de la Junta por su compromiso</w:t>
      </w:r>
      <w:r w:rsidR="00155ADC">
        <w:rPr>
          <w:rFonts w:eastAsia="Times New Roman" w:cs="Arial"/>
          <w:szCs w:val="22"/>
          <w:lang w:val="es-ES_tradnl" w:eastAsia="en-US"/>
        </w:rPr>
        <w:t>,</w:t>
      </w:r>
    </w:p>
    <w:p w14:paraId="4B48E9EA" w14:textId="476A9D26" w:rsidR="00C31B49" w:rsidRPr="000F120E" w:rsidRDefault="00155ADC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szCs w:val="22"/>
          <w:lang w:val="es-ES_tradnl" w:eastAsia="en-US"/>
        </w:rPr>
      </w:pPr>
      <w:r>
        <w:rPr>
          <w:rFonts w:eastAsiaTheme="minorHAnsi" w:cs="Arial"/>
          <w:b/>
          <w:bCs/>
          <w:snapToGrid/>
          <w:color w:val="3F3F3F"/>
          <w:szCs w:val="22"/>
          <w:lang w:val="es-ES_tradnl" w:eastAsia="fr-FR"/>
        </w:rPr>
        <w:t>Expresa</w:t>
      </w:r>
      <w:r w:rsidR="00FB5C90">
        <w:rPr>
          <w:rFonts w:eastAsiaTheme="minorHAnsi" w:cs="Arial"/>
          <w:b/>
          <w:bCs/>
          <w:snapToGrid/>
          <w:color w:val="3F3F3F"/>
          <w:szCs w:val="22"/>
          <w:lang w:val="es-ES_tradnl" w:eastAsia="fr-FR"/>
        </w:rPr>
        <w:t>ndo</w:t>
      </w:r>
      <w:r>
        <w:rPr>
          <w:rFonts w:eastAsiaTheme="minorHAnsi" w:cs="Arial"/>
          <w:b/>
          <w:bCs/>
          <w:snapToGrid/>
          <w:color w:val="3F3F3F"/>
          <w:szCs w:val="22"/>
          <w:lang w:val="es-ES_tradnl" w:eastAsia="fr-FR"/>
        </w:rPr>
        <w:t xml:space="preserve"> su agradecimiento</w:t>
      </w:r>
      <w:r w:rsidR="00FB5C90">
        <w:rPr>
          <w:rFonts w:eastAsiaTheme="minorHAnsi" w:cs="Arial"/>
          <w:b/>
          <w:bCs/>
          <w:snapToGrid/>
          <w:color w:val="3F3F3F"/>
          <w:szCs w:val="22"/>
          <w:lang w:val="es-ES_tradnl" w:eastAsia="fr-FR"/>
        </w:rPr>
        <w:t xml:space="preserve"> </w:t>
      </w:r>
      <w:r w:rsidR="00FB5C90">
        <w:rPr>
          <w:rFonts w:eastAsiaTheme="minorHAnsi" w:cs="Arial"/>
          <w:snapToGrid/>
          <w:color w:val="3F3F3F"/>
          <w:szCs w:val="22"/>
          <w:lang w:val="es-ES_tradnl" w:eastAsia="fr-FR"/>
        </w:rPr>
        <w:t xml:space="preserve">al Gobierno de España por acoger la </w:t>
      </w:r>
      <w:r w:rsidR="00FB5C90" w:rsidRPr="00FB5C90">
        <w:rPr>
          <w:rFonts w:eastAsiaTheme="minorHAnsi" w:cs="Arial"/>
          <w:snapToGrid/>
          <w:color w:val="3F3F3F"/>
          <w:szCs w:val="22"/>
          <w:lang w:val="es-ES_tradnl" w:eastAsia="fr-FR"/>
        </w:rPr>
        <w:t>Conferencia del Decenio del Océano</w:t>
      </w:r>
      <w:r w:rsidR="00FB5C90">
        <w:rPr>
          <w:rFonts w:eastAsiaTheme="minorHAnsi" w:cs="Arial"/>
          <w:snapToGrid/>
          <w:color w:val="3F3F3F"/>
          <w:szCs w:val="22"/>
          <w:lang w:val="es-ES_tradnl" w:eastAsia="fr-FR"/>
        </w:rPr>
        <w:t xml:space="preserve"> en Barcelona en abril de 2024 y</w:t>
      </w:r>
      <w:r>
        <w:rPr>
          <w:rFonts w:eastAsiaTheme="minorHAnsi" w:cs="Arial"/>
          <w:b/>
          <w:bCs/>
          <w:snapToGrid/>
          <w:color w:val="3F3F3F"/>
          <w:szCs w:val="22"/>
          <w:lang w:val="es-ES_tradnl" w:eastAsia="fr-FR"/>
        </w:rPr>
        <w:t xml:space="preserve"> </w:t>
      </w:r>
      <w:r w:rsidR="00FB5C90">
        <w:rPr>
          <w:rFonts w:eastAsiaTheme="minorHAnsi" w:cs="Arial"/>
          <w:b/>
          <w:bCs/>
          <w:snapToGrid/>
          <w:color w:val="3F3F3F"/>
          <w:szCs w:val="22"/>
          <w:lang w:val="es-ES_tradnl" w:eastAsia="fr-FR"/>
        </w:rPr>
        <w:t>r</w:t>
      </w:r>
      <w:r w:rsidR="00C31B49" w:rsidRPr="000F120E">
        <w:rPr>
          <w:rFonts w:eastAsiaTheme="minorHAnsi" w:cs="Arial"/>
          <w:b/>
          <w:bCs/>
          <w:snapToGrid/>
          <w:color w:val="3F3F3F"/>
          <w:szCs w:val="22"/>
          <w:lang w:val="es-ES_tradnl" w:eastAsia="fr-FR"/>
        </w:rPr>
        <w:t>eafirma</w:t>
      </w:r>
      <w:r w:rsidR="00FB5C90">
        <w:rPr>
          <w:rFonts w:eastAsiaTheme="minorHAnsi" w:cs="Arial"/>
          <w:b/>
          <w:bCs/>
          <w:snapToGrid/>
          <w:color w:val="3F3F3F"/>
          <w:szCs w:val="22"/>
          <w:lang w:val="es-ES_tradnl" w:eastAsia="fr-FR"/>
        </w:rPr>
        <w:t>ndo</w:t>
      </w:r>
      <w:r w:rsidR="00C31B49" w:rsidRPr="000F120E">
        <w:rPr>
          <w:rFonts w:eastAsiaTheme="minorHAnsi" w:cs="Arial"/>
          <w:b/>
          <w:bCs/>
          <w:snapToGrid/>
          <w:color w:val="3F3F3F"/>
          <w:szCs w:val="22"/>
          <w:lang w:val="es-ES_tradnl" w:eastAsia="fr-FR"/>
        </w:rPr>
        <w:t xml:space="preserve"> su apoyo</w:t>
      </w:r>
      <w:r w:rsidR="00C31B49" w:rsidRPr="000F120E">
        <w:rPr>
          <w:rFonts w:eastAsiaTheme="minorHAnsi" w:cs="Arial"/>
          <w:snapToGrid/>
          <w:color w:val="3F3F3F"/>
          <w:szCs w:val="22"/>
          <w:lang w:val="es-ES_tradnl" w:eastAsia="fr-FR"/>
        </w:rPr>
        <w:t xml:space="preserve"> a la aplicación de las prioridades y recomendaciones definidas en la </w:t>
      </w:r>
      <w:r w:rsidR="00C31B49" w:rsidRPr="000F120E">
        <w:rPr>
          <w:rFonts w:eastAsiaTheme="minorHAnsi" w:cs="Arial"/>
          <w:i/>
          <w:iCs/>
          <w:snapToGrid/>
          <w:color w:val="3F3F3F"/>
          <w:szCs w:val="22"/>
          <w:lang w:val="es-ES_tradnl" w:eastAsia="fr-FR"/>
        </w:rPr>
        <w:t>Declaración de Barcelona</w:t>
      </w:r>
      <w:r w:rsidR="00FB5C90">
        <w:rPr>
          <w:rFonts w:eastAsiaTheme="minorHAnsi" w:cs="Arial"/>
          <w:i/>
          <w:iCs/>
          <w:snapToGrid/>
          <w:color w:val="3F3F3F"/>
          <w:szCs w:val="22"/>
          <w:lang w:val="es-ES_tradnl" w:eastAsia="fr-FR"/>
        </w:rPr>
        <w:t xml:space="preserve"> </w:t>
      </w:r>
      <w:r w:rsidR="00FB5C90" w:rsidRPr="006D2276">
        <w:rPr>
          <w:rFonts w:asciiTheme="minorBidi" w:eastAsiaTheme="minorHAnsi" w:hAnsiTheme="minorBidi" w:cstheme="minorBidi"/>
          <w:i/>
          <w:iCs/>
          <w:snapToGrid/>
          <w:szCs w:val="22"/>
          <w:lang w:val="es-ES" w:eastAsia="fr-FR"/>
        </w:rPr>
        <w:t>(</w:t>
      </w:r>
      <w:r w:rsidR="00FB5C90" w:rsidRPr="006D2276">
        <w:rPr>
          <w:rFonts w:asciiTheme="minorBidi" w:hAnsiTheme="minorBidi" w:cstheme="minorBidi"/>
          <w:szCs w:val="22"/>
          <w:lang w:val="es-ES"/>
        </w:rPr>
        <w:t>IOC/2024/ODS/55)</w:t>
      </w:r>
      <w:r w:rsidR="00C31B49" w:rsidRPr="000F120E">
        <w:rPr>
          <w:rFonts w:eastAsiaTheme="minorHAnsi" w:cs="Arial"/>
          <w:snapToGrid/>
          <w:color w:val="3F3F3F"/>
          <w:szCs w:val="22"/>
          <w:lang w:val="es-ES_tradnl" w:eastAsia="fr-FR"/>
        </w:rPr>
        <w:t>, dimanante de la Conferencia del Decenio del Océano 2024</w:t>
      </w:r>
      <w:r w:rsidR="00FB5C90">
        <w:rPr>
          <w:rFonts w:eastAsiaTheme="minorHAnsi" w:cs="Arial"/>
          <w:snapToGrid/>
          <w:color w:val="3F3F3F"/>
          <w:szCs w:val="22"/>
          <w:lang w:val="es-ES_tradnl" w:eastAsia="fr-FR"/>
        </w:rPr>
        <w:t>,</w:t>
      </w:r>
    </w:p>
    <w:p w14:paraId="4742935E" w14:textId="1B4DC4B2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>Expresa</w:t>
      </w:r>
      <w:r w:rsidR="00FB5C90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>ndo</w:t>
      </w:r>
      <w:r w:rsidRPr="000F120E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 xml:space="preserve"> su agradecimiento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a todos los Estados Miembros que </w:t>
      </w:r>
      <w:r w:rsidR="00FB5C90">
        <w:rPr>
          <w:rFonts w:eastAsia="Times New Roman" w:cs="Arial"/>
          <w:iCs/>
          <w:color w:val="000000"/>
          <w:szCs w:val="22"/>
          <w:lang w:val="es-ES_tradnl" w:eastAsia="en-US"/>
        </w:rPr>
        <w:t>manifestaron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su interés en acoger la Conferencia del Decenio del Océano 2027 y </w:t>
      </w:r>
      <w:r w:rsidRPr="006D2276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>felicita</w:t>
      </w:r>
      <w:r w:rsidR="00FB5C90" w:rsidRPr="006D2276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>ndo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al país anfitrión elegido</w:t>
      </w:r>
      <w:r w:rsidR="00FB5C90">
        <w:rPr>
          <w:rFonts w:eastAsia="Times New Roman" w:cs="Arial"/>
          <w:iCs/>
          <w:color w:val="000000"/>
          <w:szCs w:val="22"/>
          <w:lang w:val="es-ES_tradnl" w:eastAsia="en-US"/>
        </w:rPr>
        <w:t>,</w:t>
      </w:r>
    </w:p>
    <w:p w14:paraId="601C636D" w14:textId="77777777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szCs w:val="22"/>
          <w:lang w:val="es-ES_tradnl" w:eastAsia="en-US"/>
        </w:rPr>
        <w:t>Invita</w:t>
      </w:r>
      <w:r w:rsidRPr="000F120E">
        <w:rPr>
          <w:rFonts w:eastAsia="Times New Roman" w:cs="Arial"/>
          <w:szCs w:val="22"/>
          <w:lang w:val="es-ES_tradnl" w:eastAsia="en-US"/>
        </w:rPr>
        <w:t xml:space="preserve"> a los Estados Miembros y a los asociados a que:</w:t>
      </w:r>
    </w:p>
    <w:p w14:paraId="3C1F241D" w14:textId="117FA740" w:rsidR="00C31B49" w:rsidRPr="000F120E" w:rsidRDefault="00C31B49" w:rsidP="00C31B49">
      <w:pPr>
        <w:numPr>
          <w:ilvl w:val="0"/>
          <w:numId w:val="12"/>
        </w:numPr>
        <w:spacing w:after="240"/>
        <w:ind w:left="567" w:hanging="567"/>
        <w:jc w:val="both"/>
        <w:rPr>
          <w:rFonts w:eastAsia="MS Mincho" w:cs="Arial"/>
          <w:szCs w:val="22"/>
          <w:lang w:val="es-ES_tradnl" w:eastAsia="ja-JP"/>
        </w:rPr>
      </w:pPr>
      <w:r w:rsidRPr="000F120E">
        <w:rPr>
          <w:rFonts w:eastAsia="MS Mincho" w:cs="Arial"/>
          <w:szCs w:val="22"/>
          <w:lang w:val="es-ES_tradnl" w:eastAsia="ja-JP"/>
        </w:rPr>
        <w:t xml:space="preserve">incorporen las prioridades y recomendaciones contenidas en la </w:t>
      </w:r>
      <w:r w:rsidRPr="000F120E">
        <w:rPr>
          <w:rFonts w:eastAsia="MS Mincho" w:cs="Arial"/>
          <w:i/>
          <w:iCs/>
          <w:szCs w:val="22"/>
          <w:lang w:val="es-ES_tradnl" w:eastAsia="ja-JP"/>
        </w:rPr>
        <w:t>Declaración de Barcelona</w:t>
      </w:r>
      <w:r w:rsidRPr="000F120E">
        <w:rPr>
          <w:rFonts w:eastAsia="MS Mincho" w:cs="Arial"/>
          <w:szCs w:val="22"/>
          <w:lang w:val="es-ES_tradnl" w:eastAsia="ja-JP"/>
        </w:rPr>
        <w:t xml:space="preserve"> en sus marcos científicos y normativos nacionales y regionales, y las utilicen para fundamentar </w:t>
      </w:r>
      <w:r w:rsidR="00FB5C90">
        <w:rPr>
          <w:rFonts w:eastAsia="MS Mincho" w:cs="Arial"/>
          <w:szCs w:val="22"/>
          <w:lang w:val="es-ES_tradnl" w:eastAsia="ja-JP"/>
        </w:rPr>
        <w:t>su</w:t>
      </w:r>
      <w:r w:rsidR="00FB5C90" w:rsidRPr="000F120E">
        <w:rPr>
          <w:rFonts w:eastAsia="MS Mincho" w:cs="Arial"/>
          <w:szCs w:val="22"/>
          <w:lang w:val="es-ES_tradnl" w:eastAsia="ja-JP"/>
        </w:rPr>
        <w:t xml:space="preserve">s </w:t>
      </w:r>
      <w:r w:rsidRPr="000F120E">
        <w:rPr>
          <w:rFonts w:eastAsia="MS Mincho" w:cs="Arial"/>
          <w:szCs w:val="22"/>
          <w:lang w:val="es-ES_tradnl" w:eastAsia="ja-JP"/>
        </w:rPr>
        <w:t>decisiones en materia de presupuesto y dotación de recursos;</w:t>
      </w:r>
    </w:p>
    <w:p w14:paraId="11B94C5F" w14:textId="565DEB42" w:rsidR="00C31B49" w:rsidRPr="000F120E" w:rsidRDefault="00C31B49" w:rsidP="00C31B49">
      <w:pPr>
        <w:numPr>
          <w:ilvl w:val="0"/>
          <w:numId w:val="12"/>
        </w:numPr>
        <w:spacing w:after="240"/>
        <w:ind w:left="567" w:hanging="567"/>
        <w:jc w:val="both"/>
        <w:rPr>
          <w:rFonts w:eastAsia="MS Mincho" w:cs="Arial"/>
          <w:szCs w:val="22"/>
          <w:lang w:val="es-ES_tradnl" w:eastAsia="ja-JP"/>
        </w:rPr>
      </w:pPr>
      <w:r w:rsidRPr="000F120E">
        <w:rPr>
          <w:rFonts w:eastAsia="MS Mincho" w:cs="Arial"/>
          <w:szCs w:val="22"/>
          <w:lang w:val="es-ES_tradnl" w:eastAsia="ja-JP"/>
        </w:rPr>
        <w:t xml:space="preserve">aporten contribuciones financieras voluntarias para respaldar la labor de la Secretaría de la COI en la coordinación del Decenio, en particular apoyo en especie </w:t>
      </w:r>
      <w:r w:rsidR="00FB5C90">
        <w:rPr>
          <w:rFonts w:eastAsia="MS Mincho" w:cs="Arial"/>
          <w:szCs w:val="22"/>
          <w:lang w:val="es-ES_tradnl" w:eastAsia="ja-JP"/>
        </w:rPr>
        <w:t>(</w:t>
      </w:r>
      <w:r w:rsidRPr="000F120E">
        <w:rPr>
          <w:rFonts w:eastAsia="MS Mincho" w:cs="Arial"/>
          <w:szCs w:val="22"/>
          <w:lang w:val="es-ES_tradnl" w:eastAsia="ja-JP"/>
        </w:rPr>
        <w:t>por ejemplo, en forma de préstamos de personal y cesiones en comisión de servicio</w:t>
      </w:r>
      <w:r w:rsidR="00FB5C90">
        <w:rPr>
          <w:rFonts w:eastAsia="MS Mincho" w:cs="Arial"/>
          <w:szCs w:val="22"/>
          <w:lang w:val="es-ES_tradnl" w:eastAsia="ja-JP"/>
        </w:rPr>
        <w:t>)</w:t>
      </w:r>
      <w:r w:rsidRPr="000F120E">
        <w:rPr>
          <w:rFonts w:eastAsia="MS Mincho" w:cs="Arial"/>
          <w:szCs w:val="22"/>
          <w:lang w:val="es-ES_tradnl" w:eastAsia="ja-JP"/>
        </w:rPr>
        <w:t xml:space="preserve"> a la Unidad de Coordinación del Decenio (DCU);</w:t>
      </w:r>
    </w:p>
    <w:p w14:paraId="0CB39834" w14:textId="1E6275BE" w:rsidR="00C31B49" w:rsidRPr="000F120E" w:rsidRDefault="00C31B49" w:rsidP="008B0042">
      <w:pPr>
        <w:numPr>
          <w:ilvl w:val="0"/>
          <w:numId w:val="12"/>
        </w:numPr>
        <w:spacing w:after="240"/>
        <w:ind w:left="567" w:hanging="567"/>
        <w:jc w:val="both"/>
        <w:rPr>
          <w:rFonts w:eastAsia="MS Mincho" w:cs="Arial"/>
          <w:sz w:val="28"/>
          <w:szCs w:val="28"/>
          <w:lang w:val="es-ES_tradnl" w:eastAsia="ja-JP"/>
        </w:rPr>
      </w:pPr>
      <w:r w:rsidRPr="000F120E">
        <w:rPr>
          <w:rFonts w:eastAsia="MS Mincho" w:cs="Arial"/>
          <w:szCs w:val="22"/>
          <w:lang w:val="es-ES_tradnl" w:eastAsia="ja-JP"/>
        </w:rPr>
        <w:t xml:space="preserve">se ofrezcan a acoger y financiar acciones del Decenio, oficinas de coordinación del Decenio y centros de colaboración del Decenio, como se describe en el </w:t>
      </w:r>
      <w:r w:rsidR="008B0042">
        <w:rPr>
          <w:rFonts w:eastAsia="MS Mincho" w:cs="Arial"/>
          <w:i/>
          <w:iCs/>
          <w:szCs w:val="22"/>
          <w:lang w:val="es-ES_tradnl" w:eastAsia="ja-JP"/>
        </w:rPr>
        <w:t>P</w:t>
      </w:r>
      <w:r w:rsidRPr="000F120E">
        <w:rPr>
          <w:rFonts w:eastAsia="MS Mincho" w:cs="Arial"/>
          <w:i/>
          <w:iCs/>
          <w:szCs w:val="22"/>
          <w:lang w:val="es-ES_tradnl" w:eastAsia="ja-JP"/>
        </w:rPr>
        <w:t xml:space="preserve">lan de </w:t>
      </w:r>
      <w:r w:rsidR="008B0042">
        <w:rPr>
          <w:rFonts w:eastAsia="MS Mincho" w:cs="Arial"/>
          <w:i/>
          <w:iCs/>
          <w:szCs w:val="22"/>
          <w:lang w:val="es-ES_tradnl" w:eastAsia="ja-JP"/>
        </w:rPr>
        <w:lastRenderedPageBreak/>
        <w:t>E</w:t>
      </w:r>
      <w:r w:rsidRPr="000F120E">
        <w:rPr>
          <w:rFonts w:eastAsia="MS Mincho" w:cs="Arial"/>
          <w:i/>
          <w:iCs/>
          <w:szCs w:val="22"/>
          <w:lang w:val="es-ES_tradnl" w:eastAsia="ja-JP"/>
        </w:rPr>
        <w:t xml:space="preserve">jecución del </w:t>
      </w:r>
      <w:r w:rsidR="008B0042" w:rsidRPr="006D2276">
        <w:rPr>
          <w:rFonts w:eastAsia="MS Mincho" w:cs="Arial"/>
          <w:i/>
          <w:iCs/>
          <w:szCs w:val="22"/>
          <w:lang w:val="es-ES" w:eastAsia="ja-JP"/>
        </w:rPr>
        <w:t>Decenio de las Naciones Unidas de las Ciencias Oceánicas para el Desarrollo Sostenible</w:t>
      </w:r>
      <w:r w:rsidR="008B0042" w:rsidRPr="008B0042" w:rsidDel="008B0042">
        <w:rPr>
          <w:rFonts w:eastAsia="MS Mincho" w:cs="Arial"/>
          <w:i/>
          <w:iCs/>
          <w:szCs w:val="22"/>
          <w:lang w:val="es-ES_tradnl" w:eastAsia="ja-JP"/>
        </w:rPr>
        <w:t xml:space="preserve"> </w:t>
      </w:r>
      <w:r w:rsidRPr="000F120E">
        <w:rPr>
          <w:rFonts w:eastAsia="MS Mincho" w:cs="Arial"/>
          <w:szCs w:val="22"/>
          <w:lang w:val="es-ES_tradnl" w:eastAsia="ja-JP"/>
        </w:rPr>
        <w:t>(</w:t>
      </w:r>
      <w:r w:rsidR="008B0042">
        <w:rPr>
          <w:rFonts w:eastAsia="MS Mincho" w:cs="Arial"/>
          <w:szCs w:val="22"/>
          <w:lang w:val="es-ES_tradnl" w:eastAsia="ja-JP"/>
        </w:rPr>
        <w:t>IOC/2021/ODS/</w:t>
      </w:r>
      <w:r w:rsidRPr="000F120E">
        <w:rPr>
          <w:rFonts w:eastAsia="MS Mincho" w:cs="Arial"/>
          <w:szCs w:val="22"/>
          <w:lang w:val="es-ES_tradnl" w:eastAsia="ja-JP"/>
        </w:rPr>
        <w:t>20);</w:t>
      </w:r>
      <w:r w:rsidR="008B0042">
        <w:rPr>
          <w:rFonts w:eastAsia="MS Mincho" w:cs="Arial"/>
          <w:szCs w:val="22"/>
          <w:lang w:val="es-ES_tradnl" w:eastAsia="ja-JP"/>
        </w:rPr>
        <w:t xml:space="preserve"> y</w:t>
      </w:r>
    </w:p>
    <w:p w14:paraId="76BFABB2" w14:textId="77777777" w:rsidR="00C31B49" w:rsidRPr="000F120E" w:rsidRDefault="00C31B49" w:rsidP="00C31B49">
      <w:pPr>
        <w:numPr>
          <w:ilvl w:val="0"/>
          <w:numId w:val="12"/>
        </w:numPr>
        <w:spacing w:after="240"/>
        <w:ind w:left="567" w:hanging="567"/>
        <w:jc w:val="both"/>
        <w:rPr>
          <w:rFonts w:eastAsia="MS Mincho" w:cs="Arial"/>
          <w:szCs w:val="22"/>
          <w:lang w:val="es-ES_tradnl" w:eastAsia="ja-JP"/>
        </w:rPr>
      </w:pPr>
      <w:r w:rsidRPr="000F120E">
        <w:rPr>
          <w:rFonts w:eastAsia="MS Mincho" w:cs="Arial"/>
          <w:szCs w:val="22"/>
          <w:lang w:val="es-ES_tradnl" w:eastAsia="ja-JP"/>
        </w:rPr>
        <w:t>acojan eventos regionales o internacionales de las partes interesadas en el Decenio, en particular en el marco del proceso preparatorio de la Conferencia del Decenio del Océano 2027;</w:t>
      </w:r>
    </w:p>
    <w:p w14:paraId="7D6D627D" w14:textId="6E794292" w:rsidR="008B0042" w:rsidRPr="006D2276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i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szCs w:val="22"/>
          <w:lang w:val="es-ES_tradnl" w:eastAsia="en-US"/>
        </w:rPr>
        <w:t>Invita</w:t>
      </w:r>
      <w:r w:rsidRPr="000F120E">
        <w:rPr>
          <w:rFonts w:eastAsia="Times New Roman" w:cs="Arial"/>
          <w:szCs w:val="22"/>
          <w:lang w:val="es-ES_tradnl" w:eastAsia="en-US"/>
        </w:rPr>
        <w:t xml:space="preserve"> </w:t>
      </w:r>
      <w:r w:rsidR="008B0042">
        <w:rPr>
          <w:rFonts w:eastAsia="Times New Roman" w:cs="Arial"/>
          <w:szCs w:val="22"/>
          <w:lang w:val="es-ES_tradnl" w:eastAsia="en-US"/>
        </w:rPr>
        <w:t>a los Estados Miembros a que pongan en marcha y apoyen comités nacionales del Decenio con miras a impulsar actividades nacionales y la cooperación internacional;</w:t>
      </w:r>
    </w:p>
    <w:p w14:paraId="322AB098" w14:textId="3B1D6639" w:rsidR="00C31B49" w:rsidRPr="000F120E" w:rsidRDefault="008B0042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i/>
          <w:szCs w:val="22"/>
          <w:lang w:val="es-ES_tradnl" w:eastAsia="en-US"/>
        </w:rPr>
      </w:pPr>
      <w:r w:rsidRPr="006D2276">
        <w:rPr>
          <w:rFonts w:eastAsia="Times New Roman" w:cs="Arial"/>
          <w:b/>
          <w:bCs/>
          <w:szCs w:val="22"/>
          <w:lang w:val="es-ES_tradnl" w:eastAsia="en-US"/>
        </w:rPr>
        <w:t>Alienta</w:t>
      </w:r>
      <w:r>
        <w:rPr>
          <w:rFonts w:eastAsia="Times New Roman" w:cs="Arial"/>
          <w:szCs w:val="22"/>
          <w:lang w:val="es-ES_tradnl" w:eastAsia="en-US"/>
        </w:rPr>
        <w:t xml:space="preserve"> </w:t>
      </w:r>
      <w:r w:rsidR="00C31B49" w:rsidRPr="000F120E">
        <w:rPr>
          <w:rFonts w:eastAsia="Times New Roman" w:cs="Arial"/>
          <w:szCs w:val="22"/>
          <w:lang w:val="es-ES_tradnl" w:eastAsia="en-US"/>
        </w:rPr>
        <w:t xml:space="preserve">a los Estados Miembros de las Naciones Unidas, los miembros de ONU-Océanos, las organizaciones científicas y académicas internacionales, las organizaciones no gubernamentales y otras partes interesadas pertinentes a que apoyen el Decenio en colaboración con la COI y a que contribuyan a su ejecución proponiendo acciones del Decenio de conformidad con el </w:t>
      </w:r>
      <w:r>
        <w:rPr>
          <w:rFonts w:eastAsia="MS Mincho" w:cs="Arial"/>
          <w:i/>
          <w:iCs/>
          <w:szCs w:val="22"/>
          <w:lang w:val="es-ES_tradnl" w:eastAsia="ja-JP"/>
        </w:rPr>
        <w:t>P</w:t>
      </w:r>
      <w:r w:rsidRPr="000F120E">
        <w:rPr>
          <w:rFonts w:eastAsia="MS Mincho" w:cs="Arial"/>
          <w:i/>
          <w:iCs/>
          <w:szCs w:val="22"/>
          <w:lang w:val="es-ES_tradnl" w:eastAsia="ja-JP"/>
        </w:rPr>
        <w:t xml:space="preserve">lan de </w:t>
      </w:r>
      <w:r>
        <w:rPr>
          <w:rFonts w:eastAsia="MS Mincho" w:cs="Arial"/>
          <w:i/>
          <w:iCs/>
          <w:szCs w:val="22"/>
          <w:lang w:val="es-ES_tradnl" w:eastAsia="ja-JP"/>
        </w:rPr>
        <w:t>E</w:t>
      </w:r>
      <w:r w:rsidRPr="000F120E">
        <w:rPr>
          <w:rFonts w:eastAsia="MS Mincho" w:cs="Arial"/>
          <w:i/>
          <w:iCs/>
          <w:szCs w:val="22"/>
          <w:lang w:val="es-ES_tradnl" w:eastAsia="ja-JP"/>
        </w:rPr>
        <w:t xml:space="preserve">jecución del </w:t>
      </w:r>
      <w:r w:rsidRPr="008F37D6">
        <w:rPr>
          <w:rFonts w:eastAsia="MS Mincho" w:cs="Arial"/>
          <w:i/>
          <w:iCs/>
          <w:szCs w:val="22"/>
          <w:lang w:val="es-ES" w:eastAsia="ja-JP"/>
        </w:rPr>
        <w:t>Decenio de las Naciones Unidas de las Ciencias Oceánicas para el Desarrollo Sostenible</w:t>
      </w:r>
      <w:r>
        <w:rPr>
          <w:rFonts w:eastAsia="MS Mincho" w:cs="Arial"/>
          <w:i/>
          <w:iCs/>
          <w:szCs w:val="22"/>
          <w:lang w:val="es-ES" w:eastAsia="ja-JP"/>
        </w:rPr>
        <w:t xml:space="preserve"> (2021-2030)</w:t>
      </w:r>
      <w:r w:rsidR="00C31B49" w:rsidRPr="000F120E">
        <w:rPr>
          <w:rFonts w:eastAsia="Times New Roman" w:cs="Arial"/>
          <w:szCs w:val="22"/>
          <w:lang w:val="es-ES_tradnl" w:eastAsia="en-US"/>
        </w:rPr>
        <w:t xml:space="preserve">, facilitando la aplicación de las prioridades y recomendaciones de la </w:t>
      </w:r>
      <w:r w:rsidR="00C31B49" w:rsidRPr="000F120E">
        <w:rPr>
          <w:rFonts w:eastAsia="Times New Roman" w:cs="Arial"/>
          <w:i/>
          <w:iCs/>
          <w:szCs w:val="22"/>
          <w:lang w:val="es-ES_tradnl" w:eastAsia="en-US"/>
        </w:rPr>
        <w:t>Declaración de Barcelona</w:t>
      </w:r>
      <w:r w:rsidR="00C31B49" w:rsidRPr="000F120E">
        <w:rPr>
          <w:rFonts w:eastAsia="Times New Roman" w:cs="Arial"/>
          <w:szCs w:val="22"/>
          <w:lang w:val="es-ES_tradnl" w:eastAsia="en-US"/>
        </w:rPr>
        <w:t xml:space="preserve"> y participando y brindando su apoyo en el proceso preparatorio de la Conferencia del Decenio del Océano 2027;</w:t>
      </w:r>
    </w:p>
    <w:p w14:paraId="2AC58479" w14:textId="77777777" w:rsidR="00C31B49" w:rsidRPr="00A33F60" w:rsidRDefault="00C31B49" w:rsidP="00C31B49">
      <w:pPr>
        <w:spacing w:after="240"/>
        <w:jc w:val="center"/>
        <w:rPr>
          <w:rFonts w:eastAsia="Times New Roman" w:cs="Arial"/>
          <w:b/>
          <w:bCs/>
          <w:iCs/>
          <w:szCs w:val="22"/>
          <w:lang w:eastAsia="en-US"/>
        </w:rPr>
      </w:pPr>
      <w:r w:rsidRPr="00A33F60">
        <w:rPr>
          <w:rFonts w:eastAsia="Times New Roman" w:cs="Arial"/>
          <w:b/>
          <w:bCs/>
          <w:iCs/>
          <w:szCs w:val="22"/>
          <w:lang w:eastAsia="en-US"/>
        </w:rPr>
        <w:t>Parte II</w:t>
      </w:r>
    </w:p>
    <w:p w14:paraId="7677D3D8" w14:textId="558CE8C4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i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iCs/>
          <w:szCs w:val="22"/>
          <w:lang w:val="es-ES_tradnl" w:eastAsia="en-US"/>
        </w:rPr>
        <w:t>Habiendo examinado</w:t>
      </w:r>
      <w:r w:rsidRPr="000F120E">
        <w:rPr>
          <w:rFonts w:eastAsia="Times New Roman" w:cs="Arial"/>
          <w:iCs/>
          <w:szCs w:val="22"/>
          <w:lang w:val="es-ES_tradnl" w:eastAsia="en-US"/>
        </w:rPr>
        <w:t xml:space="preserve"> el documento IOC/A-33/4.8.Doc(2), </w:t>
      </w:r>
      <w:r w:rsidR="000A2555">
        <w:rPr>
          <w:rFonts w:eastAsia="Times New Roman" w:cs="Arial"/>
          <w:iCs/>
          <w:szCs w:val="22"/>
          <w:lang w:val="es-ES_tradnl" w:eastAsia="en-US"/>
        </w:rPr>
        <w:t>que contiene un</w:t>
      </w:r>
      <w:r w:rsidRPr="000F120E">
        <w:rPr>
          <w:rFonts w:eastAsia="Times New Roman" w:cs="Arial"/>
          <w:iCs/>
          <w:szCs w:val="22"/>
          <w:lang w:val="es-ES_tradnl" w:eastAsia="en-US"/>
        </w:rPr>
        <w:t xml:space="preserve"> </w:t>
      </w:r>
      <w:r w:rsidRPr="006D2276">
        <w:rPr>
          <w:rFonts w:eastAsia="Times New Roman" w:cs="Arial"/>
          <w:i/>
          <w:szCs w:val="22"/>
          <w:lang w:val="es-ES_tradnl" w:eastAsia="en-US"/>
        </w:rPr>
        <w:t>resume</w:t>
      </w:r>
      <w:r w:rsidR="000A2555" w:rsidRPr="006D2276">
        <w:rPr>
          <w:rFonts w:eastAsia="Times New Roman" w:cs="Arial"/>
          <w:i/>
          <w:szCs w:val="22"/>
          <w:lang w:val="es-ES_tradnl" w:eastAsia="en-US"/>
        </w:rPr>
        <w:t>n de</w:t>
      </w:r>
      <w:r w:rsidRPr="006D2276">
        <w:rPr>
          <w:rFonts w:eastAsia="Times New Roman" w:cs="Arial"/>
          <w:i/>
          <w:szCs w:val="22"/>
          <w:lang w:val="es-ES_tradnl" w:eastAsia="en-US"/>
        </w:rPr>
        <w:t xml:space="preserve"> la evaluación de mitad de periodo del Decenio de las Naciones Unidas de las Ciencias Oceánicas para el Desarrollo Sostenible y la respuesta de la dirección a </w:t>
      </w:r>
      <w:r w:rsidR="000A2555" w:rsidRPr="006D2276">
        <w:rPr>
          <w:rFonts w:eastAsia="Times New Roman" w:cs="Arial"/>
          <w:i/>
          <w:szCs w:val="22"/>
          <w:lang w:val="es-ES_tradnl" w:eastAsia="en-US"/>
        </w:rPr>
        <w:t xml:space="preserve">las conclusiones de la </w:t>
      </w:r>
      <w:r w:rsidRPr="006D2276">
        <w:rPr>
          <w:rFonts w:eastAsia="Times New Roman" w:cs="Arial"/>
          <w:i/>
          <w:szCs w:val="22"/>
          <w:lang w:val="es-ES_tradnl" w:eastAsia="en-US"/>
        </w:rPr>
        <w:t>evaluación</w:t>
      </w:r>
      <w:r w:rsidRPr="000F120E">
        <w:rPr>
          <w:rFonts w:eastAsia="Times New Roman" w:cs="Arial"/>
          <w:iCs/>
          <w:szCs w:val="22"/>
          <w:lang w:val="es-ES_tradnl" w:eastAsia="en-US"/>
        </w:rPr>
        <w:t>,</w:t>
      </w:r>
    </w:p>
    <w:p w14:paraId="6E070704" w14:textId="19CA864A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i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>Toma</w:t>
      </w:r>
      <w:r w:rsidR="000A2555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>ndo</w:t>
      </w:r>
      <w:r w:rsidRPr="000F120E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 xml:space="preserve"> nota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de las conclusiones de la evaluación de mitad de periodo y de la respuesta de la dirección, formulada por el Secretario Ejecutivo</w:t>
      </w:r>
      <w:r w:rsidR="000A2555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de la COI,</w:t>
      </w:r>
    </w:p>
    <w:p w14:paraId="1EA526E8" w14:textId="77777777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i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>Pide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al Secretario Ejecutivo de la COI que elabore un plan de acción sobre la base de la respuesta de la dirección que se presentará a la Junta Asesora del Decenio antes de finales de 2025 y que informe sobre los progresos realizados en relación con el plan de acción en la 59ª reunión del Consejo Ejecutivo de la COI;</w:t>
      </w:r>
    </w:p>
    <w:p w14:paraId="40D24EE6" w14:textId="77777777" w:rsidR="00C31B49" w:rsidRPr="006D2276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i/>
          <w:szCs w:val="22"/>
          <w:lang w:val="es-ES" w:eastAsia="en-US"/>
        </w:rPr>
      </w:pPr>
      <w:r w:rsidRPr="000F120E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>Habiendo examinado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el documento IOC/A-33/4.8.Doc(3), titulado “</w:t>
      </w:r>
      <w:r w:rsidRPr="006D2276">
        <w:rPr>
          <w:rFonts w:eastAsia="Times New Roman" w:cs="Arial"/>
          <w:i/>
          <w:color w:val="000000"/>
          <w:szCs w:val="22"/>
          <w:lang w:val="es-ES_tradnl" w:eastAsia="en-US"/>
        </w:rPr>
        <w:t>Mandato revisado de la Junta Asesora del Decenio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>”,</w:t>
      </w:r>
    </w:p>
    <w:p w14:paraId="5F29A55E" w14:textId="77777777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i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>Aprueba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el mandato revisado y </w:t>
      </w:r>
      <w:r w:rsidRPr="000F120E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>pide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al Secretario Ejecutivo de la COI que inicie un proceso para establecer una nueva Junta Asesora del Decenio que comience su labor en enero de 2026;</w:t>
      </w:r>
    </w:p>
    <w:p w14:paraId="17F6F31A" w14:textId="442870ED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szCs w:val="22"/>
          <w:lang w:val="es-ES_tradnl" w:eastAsia="en-US"/>
        </w:rPr>
      </w:pPr>
      <w:r w:rsidRPr="000F120E"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  <w:t>Expresa su gratitud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a los gobiernos del Canadá,</w:t>
      </w:r>
      <w:r w:rsidR="000A2555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China,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Francia, el Japón, Bélgica (Gobierno de Flandes), Noruega, Alemania, Irlanda, Portugal, la República de Corea</w:t>
      </w:r>
      <w:r w:rsidR="000A2555">
        <w:rPr>
          <w:rFonts w:eastAsia="Times New Roman" w:cs="Arial"/>
          <w:iCs/>
          <w:color w:val="000000"/>
          <w:szCs w:val="22"/>
          <w:lang w:val="es-ES_tradnl" w:eastAsia="en-US"/>
        </w:rPr>
        <w:t>,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Suecia</w:t>
      </w:r>
      <w:r w:rsidR="000A2555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y Tailandia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>, así como a la Fundación ENGIE, la Fundación Gordon and Betty Moore, Prada, REV-Ocean y FUGRO, por sus valiosas contribuciones financieras</w:t>
      </w:r>
      <w:r w:rsidR="000A2555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y adscripciones y préstamos de personal a la Secretaría de la COI para la coordinación del</w:t>
      </w:r>
      <w:r w:rsidRPr="000F120E">
        <w:rPr>
          <w:rFonts w:eastAsia="Times New Roman" w:cs="Arial"/>
          <w:iCs/>
          <w:color w:val="000000"/>
          <w:szCs w:val="22"/>
          <w:lang w:val="es-ES_tradnl" w:eastAsia="en-US"/>
        </w:rPr>
        <w:t xml:space="preserve"> Decenio;</w:t>
      </w:r>
    </w:p>
    <w:p w14:paraId="77D8E430" w14:textId="77777777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szCs w:val="22"/>
          <w:lang w:eastAsia="en-US"/>
        </w:rPr>
      </w:pPr>
      <w:r w:rsidRPr="000F120E">
        <w:rPr>
          <w:rFonts w:eastAsia="MS Mincho" w:cs="Arial"/>
          <w:b/>
          <w:bCs/>
          <w:szCs w:val="22"/>
          <w:lang w:val="es-ES_tradnl" w:eastAsia="ja-JP"/>
        </w:rPr>
        <w:t>Expresa su reconocimiento</w:t>
      </w:r>
      <w:r w:rsidRPr="000F120E">
        <w:rPr>
          <w:rFonts w:eastAsia="MS Mincho" w:cs="Arial"/>
          <w:szCs w:val="22"/>
          <w:lang w:val="es-ES_tradnl" w:eastAsia="ja-JP"/>
        </w:rPr>
        <w:t>:</w:t>
      </w:r>
    </w:p>
    <w:p w14:paraId="05C387DA" w14:textId="3FE2C498" w:rsidR="000A2555" w:rsidRPr="000F120E" w:rsidRDefault="000A2555" w:rsidP="000A2555">
      <w:pPr>
        <w:numPr>
          <w:ilvl w:val="0"/>
          <w:numId w:val="14"/>
        </w:numPr>
        <w:spacing w:after="240"/>
        <w:ind w:left="567" w:hanging="567"/>
        <w:jc w:val="both"/>
        <w:rPr>
          <w:rFonts w:eastAsia="Times New Roman" w:cs="Arial"/>
          <w:szCs w:val="22"/>
          <w:lang w:val="es-ES_tradnl" w:eastAsia="en-US"/>
        </w:rPr>
      </w:pPr>
      <w:r w:rsidRPr="000F120E">
        <w:rPr>
          <w:rFonts w:eastAsia="MS Mincho" w:cs="Arial"/>
          <w:szCs w:val="22"/>
          <w:lang w:val="es-ES_tradnl" w:eastAsia="ja-JP"/>
        </w:rPr>
        <w:t>a la Fundación Grupo Boticário por acoger el Cuarto Diálogo de Fundaciones del Decenio del Océano en Río de Janeiro en septiembre de 2024;</w:t>
      </w:r>
      <w:r>
        <w:rPr>
          <w:rFonts w:eastAsia="MS Mincho" w:cs="Arial"/>
          <w:szCs w:val="22"/>
          <w:lang w:val="es-ES_tradnl" w:eastAsia="ja-JP"/>
        </w:rPr>
        <w:t xml:space="preserve"> y</w:t>
      </w:r>
    </w:p>
    <w:p w14:paraId="56B70B09" w14:textId="24B926CD" w:rsidR="006D2276" w:rsidRDefault="00C31B49" w:rsidP="00C31B49">
      <w:pPr>
        <w:numPr>
          <w:ilvl w:val="0"/>
          <w:numId w:val="14"/>
        </w:numPr>
        <w:spacing w:after="240"/>
        <w:ind w:left="567" w:hanging="567"/>
        <w:jc w:val="both"/>
        <w:rPr>
          <w:rFonts w:eastAsia="MS Mincho" w:cs="Arial"/>
          <w:szCs w:val="22"/>
          <w:lang w:val="es-ES_tradnl" w:eastAsia="ja-JP"/>
        </w:rPr>
      </w:pPr>
      <w:r w:rsidRPr="000F120E">
        <w:rPr>
          <w:rFonts w:eastAsia="MS Mincho" w:cs="Arial"/>
          <w:szCs w:val="22"/>
          <w:lang w:val="es-ES_tradnl" w:eastAsia="ja-JP"/>
        </w:rPr>
        <w:t>al Gobierno Popular Municipal de Qingdao (China) por acoger la Primera Conferencia Internacional de Ciudades Costeras del Decenio del Océano en febrero de 2025;</w:t>
      </w:r>
    </w:p>
    <w:p w14:paraId="6E124ABB" w14:textId="77777777" w:rsidR="006D2276" w:rsidRDefault="006D2276">
      <w:pPr>
        <w:tabs>
          <w:tab w:val="clear" w:pos="567"/>
        </w:tabs>
        <w:snapToGrid/>
        <w:rPr>
          <w:rFonts w:eastAsia="MS Mincho" w:cs="Arial"/>
          <w:szCs w:val="22"/>
          <w:lang w:val="es-ES_tradnl" w:eastAsia="ja-JP"/>
        </w:rPr>
      </w:pPr>
      <w:r>
        <w:rPr>
          <w:rFonts w:eastAsia="MS Mincho" w:cs="Arial"/>
          <w:szCs w:val="22"/>
          <w:lang w:val="es-ES_tradnl" w:eastAsia="ja-JP"/>
        </w:rPr>
        <w:br w:type="page"/>
      </w:r>
    </w:p>
    <w:p w14:paraId="77DEB6A3" w14:textId="77777777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szCs w:val="22"/>
          <w:lang w:val="es-ES_tradnl" w:eastAsia="en-US"/>
        </w:rPr>
      </w:pPr>
      <w:r w:rsidRPr="000F120E">
        <w:rPr>
          <w:rFonts w:eastAsia="MS Mincho" w:cs="Arial"/>
          <w:b/>
          <w:bCs/>
          <w:szCs w:val="22"/>
          <w:lang w:val="es-ES_tradnl" w:eastAsia="ja-JP"/>
        </w:rPr>
        <w:lastRenderedPageBreak/>
        <w:t>Apoya</w:t>
      </w:r>
      <w:r w:rsidRPr="000F120E">
        <w:rPr>
          <w:rFonts w:eastAsia="MS Mincho" w:cs="Arial"/>
          <w:szCs w:val="22"/>
          <w:lang w:val="es-ES_tradnl" w:eastAsia="ja-JP"/>
        </w:rPr>
        <w:t xml:space="preserve"> la inscripción de nuevas acciones del Decenio dirigidas por la COI, a saber:</w:t>
      </w:r>
    </w:p>
    <w:p w14:paraId="3611704B" w14:textId="23D003D2" w:rsidR="00C31B49" w:rsidRPr="000F120E" w:rsidRDefault="000A2555" w:rsidP="00C31B49">
      <w:pPr>
        <w:numPr>
          <w:ilvl w:val="1"/>
          <w:numId w:val="11"/>
        </w:numPr>
        <w:tabs>
          <w:tab w:val="clear" w:pos="567"/>
        </w:tabs>
        <w:spacing w:after="240"/>
        <w:ind w:left="588" w:hanging="588"/>
        <w:jc w:val="both"/>
        <w:rPr>
          <w:rFonts w:eastAsia="Times New Roman" w:cs="Arial"/>
          <w:szCs w:val="22"/>
          <w:lang w:val="es-ES_tradnl" w:eastAsia="en-US"/>
        </w:rPr>
      </w:pPr>
      <w:r>
        <w:rPr>
          <w:rFonts w:eastAsia="Times New Roman" w:cs="Arial"/>
          <w:szCs w:val="22"/>
          <w:lang w:val="es-ES_tradnl" w:eastAsia="en-US"/>
        </w:rPr>
        <w:t xml:space="preserve">UN39, </w:t>
      </w:r>
      <w:r w:rsidR="00C31B49" w:rsidRPr="000F120E">
        <w:rPr>
          <w:rFonts w:eastAsia="Times New Roman" w:cs="Arial"/>
          <w:szCs w:val="22"/>
          <w:lang w:val="es-ES_tradnl" w:eastAsia="en-US"/>
        </w:rPr>
        <w:t>el proyecto del Decenio “Soluciones oceánicas en los mares de Asia Oriental”, dirigido por la Subcomisión de la COI para el Pacífico Occidental (WESTPAC) y el Centro de Estudios Marinos y Costeros (CEMACS) de la Universidad Sains de Malasia;</w:t>
      </w:r>
    </w:p>
    <w:p w14:paraId="560DC86F" w14:textId="16F59CD6" w:rsidR="00C31B49" w:rsidRPr="000F120E" w:rsidRDefault="004F7A89" w:rsidP="00C31B49">
      <w:pPr>
        <w:numPr>
          <w:ilvl w:val="1"/>
          <w:numId w:val="11"/>
        </w:numPr>
        <w:spacing w:after="240"/>
        <w:ind w:left="588" w:hanging="588"/>
        <w:jc w:val="both"/>
        <w:rPr>
          <w:rFonts w:eastAsia="Times New Roman" w:cs="Arial"/>
          <w:szCs w:val="22"/>
          <w:lang w:val="es-ES_tradnl" w:eastAsia="en-US"/>
        </w:rPr>
      </w:pPr>
      <w:r>
        <w:rPr>
          <w:rFonts w:eastAsia="Times New Roman" w:cs="Arial"/>
          <w:szCs w:val="22"/>
          <w:lang w:val="es-ES_tradnl" w:eastAsia="en-US"/>
        </w:rPr>
        <w:t xml:space="preserve">UN40, </w:t>
      </w:r>
      <w:r w:rsidR="00C31B49" w:rsidRPr="000F120E">
        <w:rPr>
          <w:rFonts w:eastAsia="Times New Roman" w:cs="Arial"/>
          <w:szCs w:val="22"/>
          <w:lang w:val="es-ES_tradnl" w:eastAsia="en-US"/>
        </w:rPr>
        <w:t>el proyecto del Decenio sobre el refuerzo de la resiliencia de las costas frente a los peligros asociados al aumento del nivel del mar dirigido por la Sección de Resiliencia frente a los Tsunamis de la COI;</w:t>
      </w:r>
      <w:r>
        <w:rPr>
          <w:rFonts w:eastAsia="Times New Roman" w:cs="Arial"/>
          <w:szCs w:val="22"/>
          <w:lang w:val="es-ES_tradnl" w:eastAsia="en-US"/>
        </w:rPr>
        <w:t xml:space="preserve"> y</w:t>
      </w:r>
    </w:p>
    <w:p w14:paraId="69CF2655" w14:textId="77777777" w:rsidR="00C31B49" w:rsidRPr="000F120E" w:rsidRDefault="00C31B49" w:rsidP="00C31B49">
      <w:pPr>
        <w:numPr>
          <w:ilvl w:val="1"/>
          <w:numId w:val="11"/>
        </w:numPr>
        <w:spacing w:after="240"/>
        <w:ind w:left="588" w:hanging="588"/>
        <w:jc w:val="both"/>
        <w:rPr>
          <w:rFonts w:eastAsia="Times New Roman" w:cs="Arial"/>
          <w:szCs w:val="22"/>
          <w:lang w:val="es-ES_tradnl" w:eastAsia="en-US"/>
        </w:rPr>
      </w:pPr>
      <w:r w:rsidRPr="000F120E">
        <w:rPr>
          <w:rFonts w:eastAsia="Times New Roman" w:cs="Arial"/>
          <w:szCs w:val="22"/>
          <w:lang w:val="es-ES_tradnl" w:eastAsia="en-US"/>
        </w:rPr>
        <w:t>el programa del Decenio para conseguir un océano mundial libre de los efectos nocivos de la contaminación dirigido por la Sección de Ciencias Oceánicas de la COI y el Programa de las Naciones Unidas para el Medio Ambiente (PNUMA);</w:t>
      </w:r>
    </w:p>
    <w:p w14:paraId="4AFE8D2E" w14:textId="77777777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Times New Roman" w:cs="Arial"/>
          <w:iCs/>
          <w:color w:val="000000"/>
          <w:szCs w:val="22"/>
          <w:lang w:val="es-ES_tradnl" w:eastAsia="en-US"/>
        </w:rPr>
      </w:pPr>
      <w:r w:rsidRPr="000F120E">
        <w:rPr>
          <w:rFonts w:eastAsia="MS Mincho" w:cs="Arial"/>
          <w:b/>
          <w:bCs/>
          <w:szCs w:val="22"/>
          <w:lang w:val="es-ES_tradnl" w:eastAsia="ja-JP"/>
        </w:rPr>
        <w:t>Apoya también</w:t>
      </w:r>
      <w:r w:rsidRPr="000F120E">
        <w:rPr>
          <w:rFonts w:eastAsia="MS Mincho" w:cs="Arial"/>
          <w:szCs w:val="22"/>
          <w:lang w:val="es-ES_tradnl" w:eastAsia="ja-JP"/>
        </w:rPr>
        <w:t xml:space="preserve"> la función activa desempeñada por los órganos subsidiarios regionales y técnicos y los programas de la COI para facilitar la coordinación regional y temática del Decenio y las actividades de movilización, en particular:</w:t>
      </w:r>
    </w:p>
    <w:p w14:paraId="227AF2AF" w14:textId="77777777" w:rsidR="00C31B49" w:rsidRPr="000F120E" w:rsidRDefault="00C31B49" w:rsidP="00C31B49">
      <w:pPr>
        <w:numPr>
          <w:ilvl w:val="0"/>
          <w:numId w:val="13"/>
        </w:numPr>
        <w:spacing w:after="240"/>
        <w:ind w:left="567" w:hanging="567"/>
        <w:jc w:val="both"/>
        <w:rPr>
          <w:rFonts w:eastAsia="MS Mincho" w:cs="Arial"/>
          <w:szCs w:val="22"/>
          <w:lang w:val="es-ES_tradnl" w:eastAsia="ja-JP"/>
        </w:rPr>
      </w:pPr>
      <w:r w:rsidRPr="000F120E">
        <w:rPr>
          <w:rFonts w:eastAsia="MS Mincho" w:cs="Arial"/>
          <w:szCs w:val="22"/>
          <w:lang w:val="es-ES_tradnl" w:eastAsia="ja-JP"/>
        </w:rPr>
        <w:t>la Secretaría de la Subcomisión de la COI para el Pacífico Occidental (WESTPAC), que actúa como oficina de coordinación del Decenio para la región del Pacífico Occidental;</w:t>
      </w:r>
    </w:p>
    <w:p w14:paraId="61BCD64D" w14:textId="77777777" w:rsidR="00C31B49" w:rsidRPr="000F120E" w:rsidRDefault="00C31B49" w:rsidP="00C31B49">
      <w:pPr>
        <w:numPr>
          <w:ilvl w:val="0"/>
          <w:numId w:val="13"/>
        </w:numPr>
        <w:spacing w:after="240"/>
        <w:ind w:left="567" w:hanging="567"/>
        <w:jc w:val="both"/>
        <w:rPr>
          <w:rFonts w:eastAsia="MS Mincho" w:cs="Arial"/>
          <w:szCs w:val="22"/>
          <w:lang w:val="es-ES_tradnl" w:eastAsia="ja-JP"/>
        </w:rPr>
      </w:pPr>
      <w:r w:rsidRPr="000F120E">
        <w:rPr>
          <w:rFonts w:eastAsia="MS Mincho" w:cs="Arial"/>
          <w:szCs w:val="22"/>
          <w:lang w:val="es-ES_tradnl" w:eastAsia="ja-JP"/>
        </w:rPr>
        <w:t>la Secretaría de la Subcomisión de la COI para el Caribe y Regiones Adyacentes (IOCARIBE), que actúa como oficina de coordinación del Decenio para la región de América Tropical y el Caribe;</w:t>
      </w:r>
    </w:p>
    <w:p w14:paraId="247620B1" w14:textId="77777777" w:rsidR="00C31B49" w:rsidRPr="000F120E" w:rsidRDefault="00C31B49" w:rsidP="00C31B49">
      <w:pPr>
        <w:numPr>
          <w:ilvl w:val="0"/>
          <w:numId w:val="13"/>
        </w:numPr>
        <w:spacing w:after="240"/>
        <w:ind w:left="567" w:hanging="567"/>
        <w:jc w:val="both"/>
        <w:rPr>
          <w:rFonts w:eastAsia="MS Mincho" w:cs="Arial"/>
          <w:szCs w:val="22"/>
          <w:lang w:val="es-ES_tradnl" w:eastAsia="ja-JP"/>
        </w:rPr>
      </w:pPr>
      <w:r w:rsidRPr="000F120E">
        <w:rPr>
          <w:rFonts w:eastAsia="MS Mincho" w:cs="Arial"/>
          <w:szCs w:val="22"/>
          <w:lang w:val="es-ES_tradnl" w:eastAsia="ja-JP"/>
        </w:rPr>
        <w:t>la Secretaría de la Subcomisión de la COI para África y Estados Insulares Adyacentes (IOCAFRICA), que actúa como oficina de coordinación del Decenio para África;</w:t>
      </w:r>
    </w:p>
    <w:p w14:paraId="62D0DC2C" w14:textId="77777777" w:rsidR="00C31B49" w:rsidRPr="000F120E" w:rsidRDefault="00C31B49" w:rsidP="00C31B49">
      <w:pPr>
        <w:numPr>
          <w:ilvl w:val="0"/>
          <w:numId w:val="13"/>
        </w:numPr>
        <w:spacing w:after="240"/>
        <w:ind w:left="567" w:hanging="567"/>
        <w:jc w:val="both"/>
        <w:rPr>
          <w:rFonts w:eastAsia="Times New Roman" w:cs="Arial"/>
          <w:szCs w:val="22"/>
          <w:lang w:val="es-ES_tradnl" w:eastAsia="en-US"/>
        </w:rPr>
      </w:pPr>
      <w:r w:rsidRPr="000F120E">
        <w:rPr>
          <w:rFonts w:eastAsia="Times New Roman" w:cs="Arial"/>
          <w:szCs w:val="22"/>
          <w:lang w:val="es-ES_tradnl" w:eastAsia="en-US"/>
        </w:rPr>
        <w:t>la Oficina del programa IODE, que actúa como oficina de coordinación del Decenio para el intercambio de datos oceanográficos;</w:t>
      </w:r>
    </w:p>
    <w:p w14:paraId="019B74D5" w14:textId="77777777" w:rsidR="00C31B49" w:rsidRPr="000F120E" w:rsidRDefault="00C31B49" w:rsidP="00C31B49">
      <w:pPr>
        <w:numPr>
          <w:ilvl w:val="0"/>
          <w:numId w:val="13"/>
        </w:numPr>
        <w:spacing w:after="240"/>
        <w:ind w:left="567" w:hanging="567"/>
        <w:jc w:val="both"/>
        <w:rPr>
          <w:rFonts w:eastAsia="Times New Roman" w:cs="Arial"/>
          <w:b/>
          <w:bCs/>
          <w:iCs/>
          <w:color w:val="000000"/>
          <w:szCs w:val="22"/>
          <w:lang w:val="es-ES_tradnl" w:eastAsia="en-US"/>
        </w:rPr>
      </w:pPr>
      <w:r w:rsidRPr="000F120E">
        <w:rPr>
          <w:rFonts w:eastAsia="Times New Roman" w:cs="Arial"/>
          <w:szCs w:val="22"/>
          <w:lang w:val="es-ES_tradnl" w:eastAsia="en-US"/>
        </w:rPr>
        <w:t>la Oficina de Proyectos del GOOS, que actúa como oficina de coordinación del Decenio para las observaciones oceánicas; y</w:t>
      </w:r>
    </w:p>
    <w:p w14:paraId="43DDB19F" w14:textId="77777777" w:rsidR="00C31B49" w:rsidRPr="000F120E" w:rsidRDefault="00C31B49" w:rsidP="00C31B49">
      <w:pPr>
        <w:numPr>
          <w:ilvl w:val="0"/>
          <w:numId w:val="13"/>
        </w:numPr>
        <w:spacing w:after="240"/>
        <w:ind w:left="567" w:hanging="567"/>
        <w:jc w:val="both"/>
        <w:rPr>
          <w:rFonts w:eastAsia="Times New Roman" w:cs="Arial"/>
          <w:iCs/>
          <w:color w:val="000000" w:themeColor="text1"/>
          <w:szCs w:val="22"/>
          <w:lang w:val="es-ES_tradnl" w:eastAsia="en-US"/>
        </w:rPr>
      </w:pPr>
      <w:r w:rsidRPr="000F120E">
        <w:rPr>
          <w:rFonts w:eastAsiaTheme="majorEastAsia" w:cs="Arial"/>
          <w:color w:val="000000" w:themeColor="text1"/>
          <w:szCs w:val="22"/>
          <w:lang w:val="es-ES_tradnl" w:eastAsia="en-US"/>
        </w:rPr>
        <w:t>la Oficina Regional de Ciencia y Cultura de la UNESCO para Europa, que actúa como oficina de coordinación del Decenio para el acercamiento entre las personas y el océano;</w:t>
      </w:r>
    </w:p>
    <w:p w14:paraId="2AF3FAFA" w14:textId="610C8B66" w:rsidR="00C31B49" w:rsidRPr="000F120E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rFonts w:eastAsia="MS Mincho" w:cs="Arial"/>
          <w:szCs w:val="22"/>
          <w:lang w:val="es-ES_tradnl" w:eastAsia="ja-JP"/>
        </w:rPr>
      </w:pPr>
      <w:r w:rsidRPr="000F120E">
        <w:rPr>
          <w:rFonts w:eastAsia="MS Mincho" w:cs="Arial"/>
          <w:b/>
          <w:bCs/>
          <w:szCs w:val="22"/>
          <w:lang w:val="es-ES_tradnl" w:eastAsia="ja-JP"/>
        </w:rPr>
        <w:t>Toma</w:t>
      </w:r>
      <w:r w:rsidR="004F7A89">
        <w:rPr>
          <w:rFonts w:eastAsia="MS Mincho" w:cs="Arial"/>
          <w:b/>
          <w:bCs/>
          <w:szCs w:val="22"/>
          <w:lang w:val="es-ES_tradnl" w:eastAsia="ja-JP"/>
        </w:rPr>
        <w:t>ndo</w:t>
      </w:r>
      <w:r w:rsidRPr="000F120E">
        <w:rPr>
          <w:rFonts w:eastAsia="MS Mincho" w:cs="Arial"/>
          <w:b/>
          <w:bCs/>
          <w:szCs w:val="22"/>
          <w:lang w:val="es-ES_tradnl" w:eastAsia="ja-JP"/>
        </w:rPr>
        <w:t xml:space="preserve"> nota</w:t>
      </w:r>
      <w:r w:rsidRPr="000F120E">
        <w:rPr>
          <w:rFonts w:eastAsia="MS Mincho" w:cs="Arial"/>
          <w:szCs w:val="22"/>
          <w:lang w:val="es-ES_tradnl" w:eastAsia="ja-JP"/>
        </w:rPr>
        <w:t xml:space="preserve"> de las necesidades de recursos definidas por la Unidad de Coordinación del Decenio, las oficinas de coordinación del Decenio dirigidas por la COI y las acciones del Decenio llevadas a cabo por la COI para cumplir sus compromisos en el marco del Decenio</w:t>
      </w:r>
      <w:r w:rsidR="004F7A89">
        <w:rPr>
          <w:rFonts w:eastAsia="MS Mincho" w:cs="Arial"/>
          <w:szCs w:val="22"/>
          <w:lang w:val="es-ES_tradnl" w:eastAsia="ja-JP"/>
        </w:rPr>
        <w:t>,</w:t>
      </w:r>
    </w:p>
    <w:p w14:paraId="063B00A7" w14:textId="383D4ABA" w:rsidR="00BE2476" w:rsidRPr="006D2276" w:rsidRDefault="00C31B49" w:rsidP="00C31B49">
      <w:pPr>
        <w:numPr>
          <w:ilvl w:val="0"/>
          <w:numId w:val="11"/>
        </w:numPr>
        <w:spacing w:after="240"/>
        <w:ind w:left="0" w:hanging="567"/>
        <w:jc w:val="both"/>
        <w:rPr>
          <w:lang w:val="es-ES"/>
        </w:rPr>
      </w:pPr>
      <w:r w:rsidRPr="00C31B49">
        <w:rPr>
          <w:rFonts w:eastAsia="MS Mincho" w:cs="Arial"/>
          <w:b/>
          <w:bCs/>
          <w:szCs w:val="22"/>
          <w:lang w:val="es-ES_tradnl" w:eastAsia="ja-JP"/>
        </w:rPr>
        <w:t>Invita</w:t>
      </w:r>
      <w:r w:rsidRPr="00C31B49">
        <w:rPr>
          <w:rFonts w:eastAsia="MS Mincho" w:cs="Arial"/>
          <w:szCs w:val="22"/>
          <w:lang w:val="es-ES_tradnl" w:eastAsia="ja-JP"/>
        </w:rPr>
        <w:t xml:space="preserve"> a los Estados Miembros, los asociados y las organizaciones donantes a que apoyen las acciones del Decenio llevadas a cabo por la COI y los mecanismos de coordinación del Decenio, en particular mediante la asignación de recursos extrapresupuestarios a los programas y regiones pertinentes de la COI, con el fin de alcanzar sus ambiciones transformadoras, orientar a sus respectivas comunidades y catalizar otras acciones durante el Decenio y después de él.</w:t>
      </w:r>
      <w:r w:rsidR="00F032D6">
        <w:fldChar w:fldCharType="begin"/>
      </w:r>
      <w:r w:rsidR="00F032D6" w:rsidRPr="006D2276">
        <w:rPr>
          <w:lang w:val="es-ES"/>
        </w:rPr>
        <w:instrText xml:space="preserve"> SUBJECT  \* MERGEFORMAT </w:instrText>
      </w:r>
      <w:r w:rsidR="00F032D6">
        <w:fldChar w:fldCharType="end"/>
      </w:r>
    </w:p>
    <w:sectPr w:rsidR="00BE2476" w:rsidRPr="006D2276" w:rsidSect="00C31B49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0FFA3" w14:textId="77777777" w:rsidR="00C31B49" w:rsidRDefault="00C31B49" w:rsidP="00C31B49">
      <w:r>
        <w:separator/>
      </w:r>
    </w:p>
  </w:endnote>
  <w:endnote w:type="continuationSeparator" w:id="0">
    <w:p w14:paraId="031BF310" w14:textId="77777777" w:rsidR="00C31B49" w:rsidRDefault="00C31B49" w:rsidP="00C3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E887D" w14:textId="77777777" w:rsidR="00C31B49" w:rsidRDefault="00C31B49" w:rsidP="00C31B49">
      <w:r>
        <w:separator/>
      </w:r>
    </w:p>
  </w:footnote>
  <w:footnote w:type="continuationSeparator" w:id="0">
    <w:p w14:paraId="50A125A1" w14:textId="77777777" w:rsidR="00C31B49" w:rsidRDefault="00C31B49" w:rsidP="00C3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0647" w14:textId="31B90A5A" w:rsidR="00C31B49" w:rsidRDefault="00C31B49">
    <w:pPr>
      <w:pStyle w:val="Header"/>
    </w:pPr>
    <w:r>
      <w:t xml:space="preserve">IOC/A-33/DR.[4.8] – pág.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AD520" w14:textId="6F783D09" w:rsidR="00C31B49" w:rsidRDefault="00C31B49" w:rsidP="00C31B49">
    <w:pPr>
      <w:pStyle w:val="Header"/>
      <w:jc w:val="right"/>
    </w:pPr>
    <w:r>
      <w:t xml:space="preserve">IOC/A-33/DR.[4.8] – pág.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BE5C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B823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3467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0881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A2CB2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D039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38C5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C0ED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6C7B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1267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6605E"/>
    <w:multiLevelType w:val="hybridMultilevel"/>
    <w:tmpl w:val="78B0805E"/>
    <w:lvl w:ilvl="0" w:tplc="B0CE4BE0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2"/>
        <w:szCs w:val="22"/>
      </w:rPr>
    </w:lvl>
    <w:lvl w:ilvl="1" w:tplc="792E3FFA">
      <w:start w:val="1"/>
      <w:numFmt w:val="lowerRoman"/>
      <w:lvlText w:val="%2)"/>
      <w:lvlJc w:val="left"/>
      <w:pPr>
        <w:ind w:left="513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53053031"/>
    <w:multiLevelType w:val="hybridMultilevel"/>
    <w:tmpl w:val="73283F40"/>
    <w:lvl w:ilvl="0" w:tplc="792E3FF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A4213"/>
    <w:multiLevelType w:val="hybridMultilevel"/>
    <w:tmpl w:val="86EA542A"/>
    <w:lvl w:ilvl="0" w:tplc="792E3FFA">
      <w:start w:val="1"/>
      <w:numFmt w:val="lowerRoman"/>
      <w:lvlText w:val="%1)"/>
      <w:lvlJc w:val="left"/>
      <w:pPr>
        <w:ind w:left="8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 w15:restartNumberingAfterBreak="0">
    <w:nsid w:val="71F05144"/>
    <w:multiLevelType w:val="hybridMultilevel"/>
    <w:tmpl w:val="614C2F04"/>
    <w:lvl w:ilvl="0" w:tplc="F1F8673E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511274">
    <w:abstractNumId w:val="8"/>
  </w:num>
  <w:num w:numId="2" w16cid:durableId="453060868">
    <w:abstractNumId w:val="3"/>
  </w:num>
  <w:num w:numId="3" w16cid:durableId="1095368941">
    <w:abstractNumId w:val="2"/>
  </w:num>
  <w:num w:numId="4" w16cid:durableId="532546661">
    <w:abstractNumId w:val="1"/>
  </w:num>
  <w:num w:numId="5" w16cid:durableId="1635865469">
    <w:abstractNumId w:val="0"/>
  </w:num>
  <w:num w:numId="6" w16cid:durableId="993605093">
    <w:abstractNumId w:val="9"/>
  </w:num>
  <w:num w:numId="7" w16cid:durableId="1316497014">
    <w:abstractNumId w:val="7"/>
  </w:num>
  <w:num w:numId="8" w16cid:durableId="1675453625">
    <w:abstractNumId w:val="6"/>
  </w:num>
  <w:num w:numId="9" w16cid:durableId="2085949359">
    <w:abstractNumId w:val="5"/>
  </w:num>
  <w:num w:numId="10" w16cid:durableId="1118404594">
    <w:abstractNumId w:val="4"/>
  </w:num>
  <w:num w:numId="11" w16cid:durableId="1165513715">
    <w:abstractNumId w:val="10"/>
  </w:num>
  <w:num w:numId="12" w16cid:durableId="1356150359">
    <w:abstractNumId w:val="13"/>
  </w:num>
  <w:num w:numId="13" w16cid:durableId="608977052">
    <w:abstractNumId w:val="11"/>
  </w:num>
  <w:num w:numId="14" w16cid:durableId="17521192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49"/>
    <w:rsid w:val="00021338"/>
    <w:rsid w:val="00026F66"/>
    <w:rsid w:val="00060C95"/>
    <w:rsid w:val="0006470A"/>
    <w:rsid w:val="000667A2"/>
    <w:rsid w:val="00071567"/>
    <w:rsid w:val="00072EF4"/>
    <w:rsid w:val="0008611B"/>
    <w:rsid w:val="0009184C"/>
    <w:rsid w:val="000A2555"/>
    <w:rsid w:val="000A5215"/>
    <w:rsid w:val="000B3B14"/>
    <w:rsid w:val="000D4E99"/>
    <w:rsid w:val="000E1876"/>
    <w:rsid w:val="000E2DCD"/>
    <w:rsid w:val="000F1FC1"/>
    <w:rsid w:val="000F2DE8"/>
    <w:rsid w:val="00112C58"/>
    <w:rsid w:val="00117252"/>
    <w:rsid w:val="00124225"/>
    <w:rsid w:val="00133154"/>
    <w:rsid w:val="00136C0B"/>
    <w:rsid w:val="00155ADC"/>
    <w:rsid w:val="00156A0D"/>
    <w:rsid w:val="001603F0"/>
    <w:rsid w:val="00180D00"/>
    <w:rsid w:val="00182005"/>
    <w:rsid w:val="00184255"/>
    <w:rsid w:val="00184EBC"/>
    <w:rsid w:val="00197EE6"/>
    <w:rsid w:val="001A7EAD"/>
    <w:rsid w:val="001C057B"/>
    <w:rsid w:val="001C2F16"/>
    <w:rsid w:val="001C3A74"/>
    <w:rsid w:val="001E5BBB"/>
    <w:rsid w:val="00202542"/>
    <w:rsid w:val="00210B02"/>
    <w:rsid w:val="002338BB"/>
    <w:rsid w:val="00252259"/>
    <w:rsid w:val="0027551B"/>
    <w:rsid w:val="002A3CA0"/>
    <w:rsid w:val="002B113B"/>
    <w:rsid w:val="002C269D"/>
    <w:rsid w:val="002C59A3"/>
    <w:rsid w:val="002C6773"/>
    <w:rsid w:val="002F0396"/>
    <w:rsid w:val="002F0B14"/>
    <w:rsid w:val="00301439"/>
    <w:rsid w:val="00301D6D"/>
    <w:rsid w:val="003041ED"/>
    <w:rsid w:val="00312DCF"/>
    <w:rsid w:val="00313978"/>
    <w:rsid w:val="0032439B"/>
    <w:rsid w:val="00326BCB"/>
    <w:rsid w:val="00347636"/>
    <w:rsid w:val="00352B06"/>
    <w:rsid w:val="003544C1"/>
    <w:rsid w:val="00354A1A"/>
    <w:rsid w:val="003613DC"/>
    <w:rsid w:val="003638AF"/>
    <w:rsid w:val="0038488F"/>
    <w:rsid w:val="0039457F"/>
    <w:rsid w:val="003B0064"/>
    <w:rsid w:val="003D3534"/>
    <w:rsid w:val="003E4D72"/>
    <w:rsid w:val="003F48F5"/>
    <w:rsid w:val="00416611"/>
    <w:rsid w:val="004630AB"/>
    <w:rsid w:val="00466922"/>
    <w:rsid w:val="00470BD2"/>
    <w:rsid w:val="004904A9"/>
    <w:rsid w:val="004A3E11"/>
    <w:rsid w:val="004B37F1"/>
    <w:rsid w:val="004B3AE3"/>
    <w:rsid w:val="004B716A"/>
    <w:rsid w:val="004C0866"/>
    <w:rsid w:val="004C4651"/>
    <w:rsid w:val="004D2CEF"/>
    <w:rsid w:val="004E1644"/>
    <w:rsid w:val="004E1AF5"/>
    <w:rsid w:val="004E4919"/>
    <w:rsid w:val="004F7A89"/>
    <w:rsid w:val="004F7CF5"/>
    <w:rsid w:val="00505933"/>
    <w:rsid w:val="0051313B"/>
    <w:rsid w:val="005205A9"/>
    <w:rsid w:val="00545E82"/>
    <w:rsid w:val="00570847"/>
    <w:rsid w:val="00572E08"/>
    <w:rsid w:val="005758FA"/>
    <w:rsid w:val="00587472"/>
    <w:rsid w:val="00593BA6"/>
    <w:rsid w:val="005B0DF5"/>
    <w:rsid w:val="005E1E19"/>
    <w:rsid w:val="005F6FDA"/>
    <w:rsid w:val="00602A06"/>
    <w:rsid w:val="0061113B"/>
    <w:rsid w:val="006203EB"/>
    <w:rsid w:val="0062612C"/>
    <w:rsid w:val="00627503"/>
    <w:rsid w:val="00651A61"/>
    <w:rsid w:val="006534A2"/>
    <w:rsid w:val="00660B10"/>
    <w:rsid w:val="00663D2E"/>
    <w:rsid w:val="00673EE4"/>
    <w:rsid w:val="00676516"/>
    <w:rsid w:val="006933BE"/>
    <w:rsid w:val="00694D7F"/>
    <w:rsid w:val="006A0129"/>
    <w:rsid w:val="006A77C4"/>
    <w:rsid w:val="006D2276"/>
    <w:rsid w:val="006D7F0A"/>
    <w:rsid w:val="006E68F7"/>
    <w:rsid w:val="00703999"/>
    <w:rsid w:val="00703E7F"/>
    <w:rsid w:val="00707605"/>
    <w:rsid w:val="00712C54"/>
    <w:rsid w:val="00725E5A"/>
    <w:rsid w:val="007324B9"/>
    <w:rsid w:val="00735D2C"/>
    <w:rsid w:val="007443D8"/>
    <w:rsid w:val="00744BB3"/>
    <w:rsid w:val="00761DC0"/>
    <w:rsid w:val="0078036E"/>
    <w:rsid w:val="0079359A"/>
    <w:rsid w:val="007A4A75"/>
    <w:rsid w:val="007B01F6"/>
    <w:rsid w:val="007B5199"/>
    <w:rsid w:val="007B714A"/>
    <w:rsid w:val="007C56A4"/>
    <w:rsid w:val="007C7FBC"/>
    <w:rsid w:val="007D0D0B"/>
    <w:rsid w:val="007D255F"/>
    <w:rsid w:val="007F65F9"/>
    <w:rsid w:val="008027B6"/>
    <w:rsid w:val="0081281F"/>
    <w:rsid w:val="00827FB3"/>
    <w:rsid w:val="0083298A"/>
    <w:rsid w:val="00836EDB"/>
    <w:rsid w:val="008539DD"/>
    <w:rsid w:val="0086030C"/>
    <w:rsid w:val="00867FAD"/>
    <w:rsid w:val="008728D4"/>
    <w:rsid w:val="00882380"/>
    <w:rsid w:val="00884C58"/>
    <w:rsid w:val="008953AA"/>
    <w:rsid w:val="008A640E"/>
    <w:rsid w:val="008B0042"/>
    <w:rsid w:val="008B2819"/>
    <w:rsid w:val="008B64E3"/>
    <w:rsid w:val="008D2C98"/>
    <w:rsid w:val="008D39E3"/>
    <w:rsid w:val="008D7C83"/>
    <w:rsid w:val="008E77E6"/>
    <w:rsid w:val="008E7E71"/>
    <w:rsid w:val="008F6170"/>
    <w:rsid w:val="009166D6"/>
    <w:rsid w:val="00935B91"/>
    <w:rsid w:val="00951167"/>
    <w:rsid w:val="00953033"/>
    <w:rsid w:val="00953724"/>
    <w:rsid w:val="009650A9"/>
    <w:rsid w:val="00967EB0"/>
    <w:rsid w:val="00996962"/>
    <w:rsid w:val="009B48D4"/>
    <w:rsid w:val="009B7C61"/>
    <w:rsid w:val="009D2192"/>
    <w:rsid w:val="009D703D"/>
    <w:rsid w:val="009E5906"/>
    <w:rsid w:val="009F3A17"/>
    <w:rsid w:val="009F46E1"/>
    <w:rsid w:val="009F52F9"/>
    <w:rsid w:val="009F65B4"/>
    <w:rsid w:val="00A12123"/>
    <w:rsid w:val="00A30027"/>
    <w:rsid w:val="00A32CE0"/>
    <w:rsid w:val="00A45619"/>
    <w:rsid w:val="00A47AC1"/>
    <w:rsid w:val="00A60521"/>
    <w:rsid w:val="00A6114A"/>
    <w:rsid w:val="00A61BFB"/>
    <w:rsid w:val="00A66C5F"/>
    <w:rsid w:val="00A953FA"/>
    <w:rsid w:val="00AD027D"/>
    <w:rsid w:val="00AD17E0"/>
    <w:rsid w:val="00AD6947"/>
    <w:rsid w:val="00AF2625"/>
    <w:rsid w:val="00AF386E"/>
    <w:rsid w:val="00AF624C"/>
    <w:rsid w:val="00AF692C"/>
    <w:rsid w:val="00B05D93"/>
    <w:rsid w:val="00B308E4"/>
    <w:rsid w:val="00B30E6F"/>
    <w:rsid w:val="00B31555"/>
    <w:rsid w:val="00B4338B"/>
    <w:rsid w:val="00B44F36"/>
    <w:rsid w:val="00B55CB4"/>
    <w:rsid w:val="00B64B86"/>
    <w:rsid w:val="00B65CC5"/>
    <w:rsid w:val="00BA546E"/>
    <w:rsid w:val="00BD6492"/>
    <w:rsid w:val="00BD6B9E"/>
    <w:rsid w:val="00BE2476"/>
    <w:rsid w:val="00BF29A0"/>
    <w:rsid w:val="00C00A13"/>
    <w:rsid w:val="00C072E5"/>
    <w:rsid w:val="00C2143B"/>
    <w:rsid w:val="00C263BE"/>
    <w:rsid w:val="00C311AC"/>
    <w:rsid w:val="00C31B49"/>
    <w:rsid w:val="00C64082"/>
    <w:rsid w:val="00C777AD"/>
    <w:rsid w:val="00C8331C"/>
    <w:rsid w:val="00C852AD"/>
    <w:rsid w:val="00C864BC"/>
    <w:rsid w:val="00C87942"/>
    <w:rsid w:val="00C915F5"/>
    <w:rsid w:val="00C91FFC"/>
    <w:rsid w:val="00C93C51"/>
    <w:rsid w:val="00CA2A1C"/>
    <w:rsid w:val="00CA6D05"/>
    <w:rsid w:val="00CC3FCF"/>
    <w:rsid w:val="00CC71E5"/>
    <w:rsid w:val="00CC7FD0"/>
    <w:rsid w:val="00CE2485"/>
    <w:rsid w:val="00CF7B29"/>
    <w:rsid w:val="00D21F1A"/>
    <w:rsid w:val="00D310D2"/>
    <w:rsid w:val="00D34181"/>
    <w:rsid w:val="00D401FC"/>
    <w:rsid w:val="00D84501"/>
    <w:rsid w:val="00D84740"/>
    <w:rsid w:val="00D8587B"/>
    <w:rsid w:val="00DA19CB"/>
    <w:rsid w:val="00DA7DE8"/>
    <w:rsid w:val="00DC13FC"/>
    <w:rsid w:val="00DC24DB"/>
    <w:rsid w:val="00DE5124"/>
    <w:rsid w:val="00E025B9"/>
    <w:rsid w:val="00E0287C"/>
    <w:rsid w:val="00E05015"/>
    <w:rsid w:val="00E05AA4"/>
    <w:rsid w:val="00E11E74"/>
    <w:rsid w:val="00E31823"/>
    <w:rsid w:val="00E348FC"/>
    <w:rsid w:val="00E36DEB"/>
    <w:rsid w:val="00E43FFC"/>
    <w:rsid w:val="00E443EA"/>
    <w:rsid w:val="00E870B4"/>
    <w:rsid w:val="00E93884"/>
    <w:rsid w:val="00EA4864"/>
    <w:rsid w:val="00EE2A4F"/>
    <w:rsid w:val="00EE2EF9"/>
    <w:rsid w:val="00EE6B7C"/>
    <w:rsid w:val="00EF2BEF"/>
    <w:rsid w:val="00F032D6"/>
    <w:rsid w:val="00F05315"/>
    <w:rsid w:val="00F16A22"/>
    <w:rsid w:val="00F217B7"/>
    <w:rsid w:val="00F2486C"/>
    <w:rsid w:val="00F35D8A"/>
    <w:rsid w:val="00F35EFF"/>
    <w:rsid w:val="00F44A39"/>
    <w:rsid w:val="00F4702A"/>
    <w:rsid w:val="00F51E6A"/>
    <w:rsid w:val="00F5322E"/>
    <w:rsid w:val="00F63A14"/>
    <w:rsid w:val="00F720B7"/>
    <w:rsid w:val="00F87DB3"/>
    <w:rsid w:val="00F911F3"/>
    <w:rsid w:val="00F9469D"/>
    <w:rsid w:val="00FA0448"/>
    <w:rsid w:val="00FA7D50"/>
    <w:rsid w:val="00FB304A"/>
    <w:rsid w:val="00FB5C90"/>
    <w:rsid w:val="00FC065E"/>
    <w:rsid w:val="00FC27E6"/>
    <w:rsid w:val="00FF054F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613BEE"/>
  <w15:docId w15:val="{2F95B9A1-F6D9-4F68-B6EB-71261E93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49"/>
    <w:pPr>
      <w:tabs>
        <w:tab w:val="left" w:pos="567"/>
      </w:tabs>
      <w:snapToGrid w:val="0"/>
    </w:pPr>
    <w:rPr>
      <w:rFonts w:ascii="Arial" w:eastAsia="SimSun" w:hAnsi="Arial"/>
      <w:snapToGrid w:val="0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3B006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006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B006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00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B0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B006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B006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B006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B006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B0064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paragraph" w:styleId="EnvelopeReturn">
    <w:name w:val="envelope return"/>
    <w:basedOn w:val="Normal"/>
    <w:rsid w:val="003B0064"/>
    <w:rPr>
      <w:rFonts w:cs="Arial"/>
      <w:sz w:val="20"/>
      <w:szCs w:val="20"/>
    </w:rPr>
  </w:style>
  <w:style w:type="paragraph" w:styleId="HTMLAddress">
    <w:name w:val="HTML Address"/>
    <w:basedOn w:val="Normal"/>
    <w:rsid w:val="003B0064"/>
    <w:rPr>
      <w:i/>
      <w:iCs/>
    </w:rPr>
  </w:style>
  <w:style w:type="paragraph" w:styleId="CommentText">
    <w:name w:val="annotation text"/>
    <w:basedOn w:val="Normal"/>
    <w:semiHidden/>
    <w:rsid w:val="003B0064"/>
    <w:rPr>
      <w:sz w:val="20"/>
      <w:szCs w:val="20"/>
    </w:rPr>
  </w:style>
  <w:style w:type="paragraph" w:styleId="BodyText">
    <w:name w:val="Body Text"/>
    <w:basedOn w:val="Normal"/>
    <w:rsid w:val="003B0064"/>
    <w:pPr>
      <w:spacing w:after="120"/>
    </w:pPr>
  </w:style>
  <w:style w:type="paragraph" w:styleId="BodyText2">
    <w:name w:val="Body Text 2"/>
    <w:basedOn w:val="Normal"/>
    <w:rsid w:val="003B0064"/>
    <w:pPr>
      <w:spacing w:after="120" w:line="480" w:lineRule="auto"/>
    </w:pPr>
  </w:style>
  <w:style w:type="paragraph" w:styleId="BodyText3">
    <w:name w:val="Body Text 3"/>
    <w:basedOn w:val="Normal"/>
    <w:rsid w:val="003B0064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3B0064"/>
  </w:style>
  <w:style w:type="paragraph" w:styleId="Header">
    <w:name w:val="header"/>
    <w:basedOn w:val="Normal"/>
    <w:rsid w:val="003B0064"/>
    <w:pPr>
      <w:tabs>
        <w:tab w:val="center" w:pos="4536"/>
        <w:tab w:val="right" w:pos="9072"/>
      </w:tabs>
    </w:pPr>
  </w:style>
  <w:style w:type="paragraph" w:styleId="MessageHeader">
    <w:name w:val="Message Header"/>
    <w:basedOn w:val="Normal"/>
    <w:rsid w:val="003B00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DocumentMap">
    <w:name w:val="Document Map"/>
    <w:basedOn w:val="Normal"/>
    <w:semiHidden/>
    <w:rsid w:val="003B00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losing">
    <w:name w:val="Closing"/>
    <w:basedOn w:val="Normal"/>
    <w:rsid w:val="003B0064"/>
    <w:pPr>
      <w:ind w:left="4252"/>
    </w:pPr>
  </w:style>
  <w:style w:type="paragraph" w:styleId="Index1">
    <w:name w:val="index 1"/>
    <w:basedOn w:val="Normal"/>
    <w:next w:val="Normal"/>
    <w:autoRedefine/>
    <w:semiHidden/>
    <w:rsid w:val="003B006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B006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B006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B006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B006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B006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B006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B006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B0064"/>
    <w:pPr>
      <w:ind w:left="2160" w:hanging="240"/>
    </w:pPr>
  </w:style>
  <w:style w:type="paragraph" w:styleId="Caption">
    <w:name w:val="caption"/>
    <w:basedOn w:val="Normal"/>
    <w:next w:val="Normal"/>
    <w:qFormat/>
    <w:rsid w:val="003B0064"/>
    <w:rPr>
      <w:b/>
      <w:bCs/>
      <w:sz w:val="20"/>
      <w:szCs w:val="20"/>
    </w:rPr>
  </w:style>
  <w:style w:type="paragraph" w:styleId="List">
    <w:name w:val="List"/>
    <w:basedOn w:val="Normal"/>
    <w:rsid w:val="003B0064"/>
    <w:pPr>
      <w:ind w:left="283" w:hanging="283"/>
    </w:pPr>
  </w:style>
  <w:style w:type="paragraph" w:styleId="List2">
    <w:name w:val="List 2"/>
    <w:basedOn w:val="Normal"/>
    <w:rsid w:val="003B0064"/>
    <w:pPr>
      <w:ind w:left="566" w:hanging="283"/>
    </w:pPr>
  </w:style>
  <w:style w:type="paragraph" w:styleId="List3">
    <w:name w:val="List 3"/>
    <w:basedOn w:val="Normal"/>
    <w:rsid w:val="003B0064"/>
    <w:pPr>
      <w:ind w:left="849" w:hanging="283"/>
    </w:pPr>
  </w:style>
  <w:style w:type="paragraph" w:styleId="List4">
    <w:name w:val="List 4"/>
    <w:basedOn w:val="Normal"/>
    <w:rsid w:val="003B0064"/>
    <w:pPr>
      <w:ind w:left="1132" w:hanging="283"/>
    </w:pPr>
  </w:style>
  <w:style w:type="paragraph" w:styleId="List5">
    <w:name w:val="List 5"/>
    <w:basedOn w:val="Normal"/>
    <w:rsid w:val="003B0064"/>
    <w:pPr>
      <w:ind w:left="1415" w:hanging="283"/>
    </w:pPr>
  </w:style>
  <w:style w:type="paragraph" w:styleId="ListNumber">
    <w:name w:val="List Number"/>
    <w:basedOn w:val="Normal"/>
    <w:rsid w:val="003B0064"/>
    <w:pPr>
      <w:numPr>
        <w:numId w:val="1"/>
      </w:numPr>
    </w:pPr>
  </w:style>
  <w:style w:type="paragraph" w:styleId="ListNumber2">
    <w:name w:val="List Number 2"/>
    <w:basedOn w:val="Normal"/>
    <w:rsid w:val="003B0064"/>
    <w:pPr>
      <w:numPr>
        <w:numId w:val="2"/>
      </w:numPr>
    </w:pPr>
  </w:style>
  <w:style w:type="paragraph" w:styleId="ListNumber3">
    <w:name w:val="List Number 3"/>
    <w:basedOn w:val="Normal"/>
    <w:rsid w:val="003B0064"/>
    <w:pPr>
      <w:numPr>
        <w:numId w:val="3"/>
      </w:numPr>
    </w:pPr>
  </w:style>
  <w:style w:type="paragraph" w:styleId="ListNumber4">
    <w:name w:val="List Number 4"/>
    <w:basedOn w:val="Normal"/>
    <w:rsid w:val="003B0064"/>
    <w:pPr>
      <w:numPr>
        <w:numId w:val="4"/>
      </w:numPr>
    </w:pPr>
  </w:style>
  <w:style w:type="paragraph" w:styleId="ListNumber5">
    <w:name w:val="List Number 5"/>
    <w:basedOn w:val="Normal"/>
    <w:rsid w:val="003B0064"/>
    <w:pPr>
      <w:numPr>
        <w:numId w:val="5"/>
      </w:numPr>
    </w:pPr>
  </w:style>
  <w:style w:type="paragraph" w:styleId="ListBullet">
    <w:name w:val="List Bullet"/>
    <w:basedOn w:val="Normal"/>
    <w:rsid w:val="003B0064"/>
    <w:pPr>
      <w:numPr>
        <w:numId w:val="6"/>
      </w:numPr>
    </w:pPr>
  </w:style>
  <w:style w:type="paragraph" w:styleId="ListBullet2">
    <w:name w:val="List Bullet 2"/>
    <w:basedOn w:val="Normal"/>
    <w:rsid w:val="003B0064"/>
    <w:pPr>
      <w:numPr>
        <w:numId w:val="7"/>
      </w:numPr>
    </w:pPr>
  </w:style>
  <w:style w:type="paragraph" w:styleId="ListBullet3">
    <w:name w:val="List Bullet 3"/>
    <w:basedOn w:val="Normal"/>
    <w:rsid w:val="003B0064"/>
    <w:pPr>
      <w:numPr>
        <w:numId w:val="8"/>
      </w:numPr>
    </w:pPr>
  </w:style>
  <w:style w:type="paragraph" w:styleId="ListBullet4">
    <w:name w:val="List Bullet 4"/>
    <w:basedOn w:val="Normal"/>
    <w:rsid w:val="003B0064"/>
    <w:pPr>
      <w:numPr>
        <w:numId w:val="9"/>
      </w:numPr>
    </w:pPr>
  </w:style>
  <w:style w:type="paragraph" w:styleId="ListBullet5">
    <w:name w:val="List Bullet 5"/>
    <w:basedOn w:val="Normal"/>
    <w:rsid w:val="003B0064"/>
    <w:pPr>
      <w:numPr>
        <w:numId w:val="10"/>
      </w:numPr>
    </w:pPr>
  </w:style>
  <w:style w:type="paragraph" w:styleId="ListContinue">
    <w:name w:val="List Continue"/>
    <w:basedOn w:val="Normal"/>
    <w:rsid w:val="003B0064"/>
    <w:pPr>
      <w:spacing w:after="120"/>
      <w:ind w:left="283"/>
    </w:pPr>
  </w:style>
  <w:style w:type="paragraph" w:styleId="ListContinue2">
    <w:name w:val="List Continue 2"/>
    <w:basedOn w:val="Normal"/>
    <w:rsid w:val="003B0064"/>
    <w:pPr>
      <w:spacing w:after="120"/>
      <w:ind w:left="566"/>
    </w:pPr>
  </w:style>
  <w:style w:type="paragraph" w:styleId="ListContinue3">
    <w:name w:val="List Continue 3"/>
    <w:basedOn w:val="Normal"/>
    <w:rsid w:val="003B0064"/>
    <w:pPr>
      <w:spacing w:after="120"/>
      <w:ind w:left="849"/>
    </w:pPr>
  </w:style>
  <w:style w:type="paragraph" w:styleId="ListContinue4">
    <w:name w:val="List Continue 4"/>
    <w:basedOn w:val="Normal"/>
    <w:rsid w:val="003B0064"/>
    <w:pPr>
      <w:spacing w:after="120"/>
      <w:ind w:left="1132"/>
    </w:pPr>
  </w:style>
  <w:style w:type="paragraph" w:styleId="ListContinue5">
    <w:name w:val="List Continue 5"/>
    <w:basedOn w:val="Normal"/>
    <w:rsid w:val="003B0064"/>
    <w:pPr>
      <w:spacing w:after="120"/>
      <w:ind w:left="1415"/>
    </w:pPr>
  </w:style>
  <w:style w:type="paragraph" w:styleId="NormalWeb">
    <w:name w:val="Normal (Web)"/>
    <w:basedOn w:val="Normal"/>
    <w:rsid w:val="003B0064"/>
  </w:style>
  <w:style w:type="paragraph" w:styleId="BlockText">
    <w:name w:val="Block Text"/>
    <w:basedOn w:val="Normal"/>
    <w:rsid w:val="003B0064"/>
    <w:pPr>
      <w:spacing w:after="120"/>
      <w:ind w:left="1440" w:right="1440"/>
    </w:pPr>
  </w:style>
  <w:style w:type="paragraph" w:styleId="FootnoteText">
    <w:name w:val="footnote text"/>
    <w:basedOn w:val="Normal"/>
    <w:link w:val="FootnoteTextChar"/>
    <w:uiPriority w:val="99"/>
    <w:semiHidden/>
    <w:rsid w:val="003B0064"/>
    <w:rPr>
      <w:sz w:val="20"/>
      <w:szCs w:val="20"/>
    </w:rPr>
  </w:style>
  <w:style w:type="paragraph" w:styleId="EndnoteText">
    <w:name w:val="endnote text"/>
    <w:basedOn w:val="Normal"/>
    <w:semiHidden/>
    <w:rsid w:val="003B00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0064"/>
    <w:rPr>
      <w:b/>
      <w:bCs/>
    </w:rPr>
  </w:style>
  <w:style w:type="paragraph" w:styleId="Footer">
    <w:name w:val="footer"/>
    <w:basedOn w:val="Normal"/>
    <w:rsid w:val="003B0064"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rsid w:val="003B0064"/>
    <w:rPr>
      <w:rFonts w:ascii="Courier New" w:hAnsi="Courier New" w:cs="Courier New"/>
      <w:sz w:val="20"/>
      <w:szCs w:val="20"/>
    </w:rPr>
  </w:style>
  <w:style w:type="paragraph" w:styleId="BodyTextFirstIndent">
    <w:name w:val="Body Text First Indent"/>
    <w:basedOn w:val="BodyText"/>
    <w:rsid w:val="003B0064"/>
    <w:pPr>
      <w:ind w:firstLine="210"/>
    </w:pPr>
  </w:style>
  <w:style w:type="paragraph" w:styleId="BodyTextIndent">
    <w:name w:val="Body Text Indent"/>
    <w:basedOn w:val="Normal"/>
    <w:rsid w:val="003B0064"/>
    <w:pPr>
      <w:spacing w:after="120"/>
      <w:ind w:left="283"/>
    </w:pPr>
  </w:style>
  <w:style w:type="paragraph" w:styleId="BodyTextIndent2">
    <w:name w:val="Body Text Indent 2"/>
    <w:basedOn w:val="Normal"/>
    <w:rsid w:val="003B006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B0064"/>
    <w:pPr>
      <w:spacing w:after="120"/>
      <w:ind w:left="283"/>
    </w:pPr>
    <w:rPr>
      <w:sz w:val="16"/>
      <w:szCs w:val="16"/>
    </w:rPr>
  </w:style>
  <w:style w:type="paragraph" w:styleId="BodyTextFirstIndent2">
    <w:name w:val="Body Text First Indent 2"/>
    <w:basedOn w:val="BodyTextIndent"/>
    <w:rsid w:val="003B0064"/>
    <w:pPr>
      <w:ind w:firstLine="210"/>
    </w:pPr>
  </w:style>
  <w:style w:type="paragraph" w:styleId="NormalIndent">
    <w:name w:val="Normal Indent"/>
    <w:basedOn w:val="Normal"/>
    <w:rsid w:val="003B0064"/>
    <w:pPr>
      <w:ind w:left="708"/>
    </w:pPr>
  </w:style>
  <w:style w:type="paragraph" w:styleId="Salutation">
    <w:name w:val="Salutation"/>
    <w:basedOn w:val="Normal"/>
    <w:next w:val="Normal"/>
    <w:rsid w:val="003B0064"/>
  </w:style>
  <w:style w:type="paragraph" w:styleId="Signature">
    <w:name w:val="Signature"/>
    <w:basedOn w:val="Normal"/>
    <w:rsid w:val="003B0064"/>
    <w:pPr>
      <w:ind w:left="4252"/>
    </w:pPr>
  </w:style>
  <w:style w:type="paragraph" w:styleId="E-mailSignature">
    <w:name w:val="E-mail Signature"/>
    <w:basedOn w:val="Normal"/>
    <w:rsid w:val="003B0064"/>
  </w:style>
  <w:style w:type="paragraph" w:styleId="Subtitle">
    <w:name w:val="Subtitle"/>
    <w:basedOn w:val="Normal"/>
    <w:qFormat/>
    <w:rsid w:val="003B0064"/>
    <w:pPr>
      <w:spacing w:after="60"/>
      <w:jc w:val="center"/>
      <w:outlineLvl w:val="1"/>
    </w:pPr>
    <w:rPr>
      <w:rFonts w:cs="Arial"/>
    </w:rPr>
  </w:style>
  <w:style w:type="paragraph" w:styleId="TableofFigures">
    <w:name w:val="table of figures"/>
    <w:basedOn w:val="Normal"/>
    <w:next w:val="Normal"/>
    <w:semiHidden/>
    <w:rsid w:val="003B0064"/>
  </w:style>
  <w:style w:type="paragraph" w:styleId="TableofAuthorities">
    <w:name w:val="table of authorities"/>
    <w:basedOn w:val="Normal"/>
    <w:next w:val="Normal"/>
    <w:semiHidden/>
    <w:rsid w:val="003B0064"/>
    <w:pPr>
      <w:ind w:left="240" w:hanging="240"/>
    </w:pPr>
  </w:style>
  <w:style w:type="paragraph" w:styleId="PlainText">
    <w:name w:val="Plain Text"/>
    <w:basedOn w:val="Normal"/>
    <w:rsid w:val="003B00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3B0064"/>
    <w:rPr>
      <w:rFonts w:ascii="Tahoma" w:hAnsi="Tahoma" w:cs="Tahoma"/>
      <w:sz w:val="16"/>
      <w:szCs w:val="16"/>
    </w:rPr>
  </w:style>
  <w:style w:type="paragraph" w:styleId="MacroText">
    <w:name w:val="macro"/>
    <w:semiHidden/>
    <w:rsid w:val="003B00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itle">
    <w:name w:val="Title"/>
    <w:basedOn w:val="Normal"/>
    <w:qFormat/>
    <w:rsid w:val="003B00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rsid w:val="003B0064"/>
  </w:style>
  <w:style w:type="paragraph" w:styleId="IndexHeading">
    <w:name w:val="index heading"/>
    <w:basedOn w:val="Normal"/>
    <w:next w:val="Index1"/>
    <w:semiHidden/>
    <w:rsid w:val="003B0064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3B006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3B0064"/>
  </w:style>
  <w:style w:type="paragraph" w:styleId="TOC2">
    <w:name w:val="toc 2"/>
    <w:basedOn w:val="Normal"/>
    <w:next w:val="Normal"/>
    <w:autoRedefine/>
    <w:semiHidden/>
    <w:rsid w:val="003B0064"/>
    <w:pPr>
      <w:ind w:left="240"/>
    </w:pPr>
  </w:style>
  <w:style w:type="paragraph" w:styleId="TOC3">
    <w:name w:val="toc 3"/>
    <w:basedOn w:val="Normal"/>
    <w:next w:val="Normal"/>
    <w:autoRedefine/>
    <w:semiHidden/>
    <w:rsid w:val="003B0064"/>
    <w:pPr>
      <w:ind w:left="480"/>
    </w:pPr>
  </w:style>
  <w:style w:type="paragraph" w:styleId="TOC4">
    <w:name w:val="toc 4"/>
    <w:basedOn w:val="Normal"/>
    <w:next w:val="Normal"/>
    <w:autoRedefine/>
    <w:semiHidden/>
    <w:rsid w:val="003B0064"/>
    <w:pPr>
      <w:ind w:left="720"/>
    </w:pPr>
  </w:style>
  <w:style w:type="paragraph" w:styleId="TOC5">
    <w:name w:val="toc 5"/>
    <w:basedOn w:val="Normal"/>
    <w:next w:val="Normal"/>
    <w:autoRedefine/>
    <w:semiHidden/>
    <w:rsid w:val="003B0064"/>
    <w:pPr>
      <w:ind w:left="960"/>
    </w:pPr>
  </w:style>
  <w:style w:type="paragraph" w:styleId="TOC6">
    <w:name w:val="toc 6"/>
    <w:basedOn w:val="Normal"/>
    <w:next w:val="Normal"/>
    <w:autoRedefine/>
    <w:semiHidden/>
    <w:rsid w:val="003B0064"/>
    <w:pPr>
      <w:ind w:left="1200"/>
    </w:pPr>
  </w:style>
  <w:style w:type="paragraph" w:styleId="TOC7">
    <w:name w:val="toc 7"/>
    <w:basedOn w:val="Normal"/>
    <w:next w:val="Normal"/>
    <w:autoRedefine/>
    <w:semiHidden/>
    <w:rsid w:val="003B0064"/>
    <w:pPr>
      <w:ind w:left="1440"/>
    </w:pPr>
  </w:style>
  <w:style w:type="paragraph" w:styleId="TOC8">
    <w:name w:val="toc 8"/>
    <w:basedOn w:val="Normal"/>
    <w:next w:val="Normal"/>
    <w:autoRedefine/>
    <w:semiHidden/>
    <w:rsid w:val="003B0064"/>
    <w:pPr>
      <w:ind w:left="1680"/>
    </w:pPr>
  </w:style>
  <w:style w:type="paragraph" w:styleId="TOC9">
    <w:name w:val="toc 9"/>
    <w:basedOn w:val="Normal"/>
    <w:next w:val="Normal"/>
    <w:autoRedefine/>
    <w:semiHidden/>
    <w:rsid w:val="003B0064"/>
    <w:pPr>
      <w:ind w:left="1920"/>
    </w:pPr>
  </w:style>
  <w:style w:type="character" w:styleId="FollowedHyperlink">
    <w:name w:val="FollowedHyperlink"/>
    <w:basedOn w:val="DefaultParagraphFont"/>
    <w:uiPriority w:val="99"/>
    <w:semiHidden/>
    <w:unhideWhenUsed/>
    <w:rsid w:val="00663D2E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740"/>
  </w:style>
  <w:style w:type="paragraph" w:styleId="IntenseQuote">
    <w:name w:val="Intense Quote"/>
    <w:basedOn w:val="Normal"/>
    <w:next w:val="Normal"/>
    <w:link w:val="IntenseQuoteChar"/>
    <w:uiPriority w:val="30"/>
    <w:qFormat/>
    <w:rsid w:val="00D847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740"/>
    <w:rPr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740"/>
    <w:pPr>
      <w:ind w:left="720"/>
      <w:contextualSpacing/>
    </w:pPr>
  </w:style>
  <w:style w:type="paragraph" w:styleId="NoSpacing">
    <w:name w:val="No Spacing"/>
    <w:uiPriority w:val="1"/>
    <w:qFormat/>
    <w:rsid w:val="00D84740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8474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4740"/>
    <w:rPr>
      <w:i/>
      <w:iCs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4740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FootnoteReference">
    <w:name w:val="footnote reference"/>
    <w:rsid w:val="00C31B49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C31B49"/>
  </w:style>
  <w:style w:type="paragraph" w:styleId="Revision">
    <w:name w:val="Revision"/>
    <w:hidden/>
    <w:uiPriority w:val="99"/>
    <w:semiHidden/>
    <w:rsid w:val="00155ADC"/>
    <w:rPr>
      <w:rFonts w:ascii="Arial" w:eastAsia="SimSun" w:hAnsi="Arial"/>
      <w:snapToGrid w:val="0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tools\Edocs2000\Edocs2024%20-%20Local%20install\eDocs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C00F-5533-4DFF-BB71-71CBBFDC95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eDocs2024.dotm</Template>
  <TotalTime>2</TotalTime>
  <Pages>3</Pages>
  <Words>1314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PROYECTO DE RESOLUCIÓN A-33/[4.8]_x000d_
Presentado por el Principado de Mónaco_x000d_
EJECUCIÓN DEL DECENIO DE LAS NACIONES UNIDAS DE LAS CIENCIAS OCEÁNICAS PARA EL DESARROLLO SOSTENIBLE (2021-2030)</vt:lpstr>
      <vt:lpstr>eDocs2024</vt:lpstr>
    </vt:vector>
  </TitlesOfParts>
  <Company>UNESCO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RESOLUCIÓN A-33/[4.8]_x000d_
Presentado por Mónaco_x000d_
EJECUCIÓN DEL DECENIO DE LAS NACIONES UNIDAS DE LAS CIENCIAS OCEÁNICAS PARA EL DESARROLLO SOSTENIBLE (2021-2030)</dc:title>
  <dc:subject>IOC/A-33/DR.[4.8] Draft</dc:subject>
  <dc:creator>Burgos Pratx, Juan Pablo</dc:creator>
  <cp:keywords/>
  <dc:description/>
  <cp:lastModifiedBy>Boned, Patrice</cp:lastModifiedBy>
  <cp:revision>3</cp:revision>
  <dcterms:created xsi:type="dcterms:W3CDTF">2025-07-02T08:24:00Z</dcterms:created>
  <dcterms:modified xsi:type="dcterms:W3CDTF">2025-07-03T06:20:00Z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</vt:lpwstr>
  </property>
  <property fmtid="{D5CDD505-2E9C-101B-9397-08002B2CF9AE}" pid="3" name="JobNumber">
    <vt:lpwstr>2500529S</vt:lpwstr>
  </property>
  <property fmtid="{D5CDD505-2E9C-101B-9397-08002B2CF9AE}" pid="4" name="ForceJobNumber">
    <vt:bool>false</vt:bool>
  </property>
</Properties>
</file>