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3C61" w14:textId="72823170" w:rsidR="00E000F8" w:rsidRPr="00733F83" w:rsidRDefault="006A1A38">
      <w:r>
        <w:pict w14:anchorId="38089DEF">
          <v:shapetype id="_x0000_t202" coordsize="21600,21600" o:spt="202" path="m,l,21600r21600,l21600,xe">
            <v:stroke joinstyle="miter"/>
            <v:path gradientshapeok="t" o:connecttype="rect"/>
          </v:shapetype>
          <v:shape id="DeepLBoxSPIDType" o:spid="_x0000_s2050" type="#_x0000_t202"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p>
    <w:p w14:paraId="4231178D" w14:textId="77777777" w:rsidR="003776C4" w:rsidRPr="00733F83" w:rsidRDefault="003776C4">
      <w:pPr>
        <w:widowControl/>
        <w:pBdr>
          <w:top w:val="nil"/>
          <w:left w:val="nil"/>
          <w:bottom w:val="nil"/>
          <w:right w:val="nil"/>
          <w:between w:val="nil"/>
        </w:pBdr>
        <w:rPr>
          <w:color w:val="000000"/>
          <w:sz w:val="24"/>
          <w:szCs w:val="24"/>
        </w:rPr>
      </w:pPr>
    </w:p>
    <w:p w14:paraId="70614C8B" w14:textId="77777777" w:rsidR="003776C4" w:rsidRPr="00733F83" w:rsidRDefault="004A1AF0" w:rsidP="00152144">
      <w:pPr>
        <w:widowControl/>
        <w:pBdr>
          <w:top w:val="nil"/>
          <w:left w:val="nil"/>
          <w:bottom w:val="nil"/>
          <w:right w:val="nil"/>
          <w:between w:val="nil"/>
        </w:pBdr>
        <w:rPr>
          <w:b/>
          <w:color w:val="000000"/>
        </w:rPr>
      </w:pPr>
      <w:r w:rsidRPr="00733F83">
        <w:rPr>
          <w:color w:val="000000"/>
          <w:sz w:val="24"/>
          <w:szCs w:val="24"/>
        </w:rPr>
        <w:tab/>
      </w:r>
    </w:p>
    <w:p w14:paraId="5FC265E8" w14:textId="77777777" w:rsidR="003776C4" w:rsidRPr="00733F83" w:rsidRDefault="003776C4">
      <w:pPr>
        <w:widowControl/>
        <w:pBdr>
          <w:top w:val="nil"/>
          <w:left w:val="nil"/>
          <w:bottom w:val="nil"/>
          <w:right w:val="nil"/>
          <w:between w:val="nil"/>
        </w:pBdr>
        <w:tabs>
          <w:tab w:val="left" w:pos="2579"/>
        </w:tabs>
        <w:rPr>
          <w:b/>
          <w:color w:val="000000"/>
        </w:rPr>
      </w:pPr>
    </w:p>
    <w:p w14:paraId="3FCC6766" w14:textId="77777777" w:rsidR="00991D49" w:rsidRPr="00733F83" w:rsidRDefault="00991D49">
      <w:pPr>
        <w:widowControl/>
        <w:pBdr>
          <w:top w:val="nil"/>
          <w:left w:val="nil"/>
          <w:bottom w:val="nil"/>
          <w:right w:val="nil"/>
          <w:between w:val="nil"/>
        </w:pBdr>
        <w:tabs>
          <w:tab w:val="left" w:pos="2579"/>
        </w:tabs>
        <w:rPr>
          <w:b/>
          <w:color w:val="000000"/>
        </w:rPr>
      </w:pPr>
    </w:p>
    <w:p w14:paraId="1FA78009" w14:textId="77777777" w:rsidR="00991D49" w:rsidRPr="00733F83" w:rsidRDefault="00991D49">
      <w:pPr>
        <w:widowControl/>
        <w:pBdr>
          <w:top w:val="nil"/>
          <w:left w:val="nil"/>
          <w:bottom w:val="nil"/>
          <w:right w:val="nil"/>
          <w:between w:val="nil"/>
        </w:pBdr>
        <w:tabs>
          <w:tab w:val="left" w:pos="2579"/>
        </w:tabs>
        <w:rPr>
          <w:b/>
          <w:color w:val="000000"/>
        </w:rPr>
      </w:pPr>
    </w:p>
    <w:p w14:paraId="77E793C9" w14:textId="77777777" w:rsidR="003776C4" w:rsidRPr="00733F83" w:rsidRDefault="0075598B">
      <w:pPr>
        <w:widowControl/>
        <w:pBdr>
          <w:top w:val="nil"/>
          <w:left w:val="nil"/>
          <w:bottom w:val="nil"/>
          <w:right w:val="nil"/>
          <w:between w:val="nil"/>
        </w:pBdr>
        <w:tabs>
          <w:tab w:val="left" w:pos="2579"/>
        </w:tabs>
        <w:jc w:val="center"/>
        <w:rPr>
          <w:b/>
          <w:color w:val="000000"/>
          <w:sz w:val="23"/>
          <w:szCs w:val="23"/>
        </w:rPr>
      </w:pPr>
      <w:r w:rsidRPr="00733F83">
        <w:rPr>
          <w:b/>
          <w:color w:val="000000"/>
          <w:sz w:val="23"/>
          <w:szCs w:val="23"/>
        </w:rPr>
        <w:t>RÉSUMÉ EXÉCUTIF</w:t>
      </w:r>
    </w:p>
    <w:p w14:paraId="0A1D80E8" w14:textId="77777777" w:rsidR="003776C4" w:rsidRPr="00733F83" w:rsidRDefault="003776C4">
      <w:pPr>
        <w:widowControl/>
        <w:pBdr>
          <w:top w:val="nil"/>
          <w:left w:val="nil"/>
          <w:bottom w:val="nil"/>
          <w:right w:val="nil"/>
          <w:between w:val="nil"/>
        </w:pBdr>
        <w:tabs>
          <w:tab w:val="left" w:pos="2579"/>
        </w:tabs>
        <w:jc w:val="center"/>
        <w:rPr>
          <w:b/>
          <w:color w:val="000000"/>
          <w:sz w:val="23"/>
          <w:szCs w:val="23"/>
        </w:rPr>
      </w:pPr>
    </w:p>
    <w:p w14:paraId="28E6F390" w14:textId="77777777" w:rsidR="003776C4" w:rsidRPr="00733F83" w:rsidRDefault="003776C4" w:rsidP="00152144">
      <w:pPr>
        <w:widowControl/>
        <w:pBdr>
          <w:top w:val="nil"/>
          <w:left w:val="nil"/>
          <w:bottom w:val="nil"/>
          <w:right w:val="nil"/>
          <w:between w:val="nil"/>
        </w:pBdr>
        <w:tabs>
          <w:tab w:val="left" w:pos="2579"/>
        </w:tabs>
        <w:rPr>
          <w:b/>
          <w:color w:val="000000"/>
          <w:sz w:val="23"/>
          <w:szCs w:val="23"/>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tblGrid>
      <w:tr w:rsidR="003776C4" w:rsidRPr="00733F83" w14:paraId="36EED18B" w14:textId="77777777" w:rsidTr="6F833DC0">
        <w:trPr>
          <w:jc w:val="center"/>
        </w:trPr>
        <w:tc>
          <w:tcPr>
            <w:tcW w:w="7650" w:type="dxa"/>
          </w:tcPr>
          <w:p w14:paraId="3F1AA664" w14:textId="77777777" w:rsidR="0075598B" w:rsidRPr="00733F83" w:rsidRDefault="0075598B" w:rsidP="0075598B">
            <w:pPr>
              <w:pBdr>
                <w:top w:val="nil"/>
                <w:left w:val="nil"/>
                <w:bottom w:val="nil"/>
                <w:right w:val="nil"/>
                <w:between w:val="nil"/>
              </w:pBdr>
              <w:ind w:right="30"/>
              <w:jc w:val="both"/>
              <w:rPr>
                <w:color w:val="000000"/>
              </w:rPr>
            </w:pPr>
            <w:r w:rsidRPr="00733F83">
              <w:rPr>
                <w:color w:val="000000"/>
              </w:rPr>
              <w:t>Conformément à l'article 48.3 du Règlement intérieur (</w:t>
            </w:r>
            <w:hyperlink r:id="rId11" w:history="1">
              <w:r w:rsidRPr="00733F83">
                <w:rPr>
                  <w:rStyle w:val="Hyperlink"/>
                </w:rPr>
                <w:t>IOC/INF-1166</w:t>
              </w:r>
            </w:hyperlink>
            <w:r w:rsidRPr="00733F83">
              <w:rPr>
                <w:color w:val="000000"/>
              </w:rPr>
              <w:t>), l'IOCARIBE, en tant qu'organe subsidiaire principal de la COI, est tenu de rendre compte de ses sessions à un organe directeur de la COI.</w:t>
            </w:r>
          </w:p>
          <w:p w14:paraId="7C6E2450" w14:textId="77777777" w:rsidR="00152144" w:rsidRPr="00733F83" w:rsidRDefault="00152144" w:rsidP="0075598B">
            <w:pPr>
              <w:pBdr>
                <w:top w:val="nil"/>
                <w:left w:val="nil"/>
                <w:bottom w:val="nil"/>
                <w:right w:val="nil"/>
                <w:between w:val="nil"/>
              </w:pBdr>
              <w:ind w:right="30"/>
              <w:jc w:val="both"/>
              <w:rPr>
                <w:color w:val="000000"/>
              </w:rPr>
            </w:pPr>
          </w:p>
          <w:p w14:paraId="28741709" w14:textId="77777777" w:rsidR="0075598B" w:rsidRPr="00733F83" w:rsidRDefault="0075598B" w:rsidP="0075598B">
            <w:pPr>
              <w:pBdr>
                <w:top w:val="nil"/>
                <w:left w:val="nil"/>
                <w:bottom w:val="nil"/>
                <w:right w:val="nil"/>
                <w:between w:val="nil"/>
              </w:pBdr>
              <w:ind w:right="30"/>
              <w:jc w:val="both"/>
              <w:rPr>
                <w:color w:val="000000"/>
              </w:rPr>
            </w:pPr>
            <w:r w:rsidRPr="00733F83">
              <w:rPr>
                <w:color w:val="000000"/>
              </w:rPr>
              <w:t xml:space="preserve">La documentation de la session et d'autres informations </w:t>
            </w:r>
            <w:r w:rsidR="00991D49" w:rsidRPr="00733F83">
              <w:rPr>
                <w:color w:val="000000"/>
              </w:rPr>
              <w:t xml:space="preserve">sont </w:t>
            </w:r>
            <w:hyperlink r:id="rId12" w:history="1">
              <w:r w:rsidRPr="00733F83">
                <w:rPr>
                  <w:rStyle w:val="Hyperlink"/>
                </w:rPr>
                <w:t>disponibles en ligne</w:t>
              </w:r>
            </w:hyperlink>
            <w:r w:rsidRPr="00733F83">
              <w:rPr>
                <w:color w:val="000000"/>
              </w:rPr>
              <w:t>.</w:t>
            </w:r>
          </w:p>
          <w:p w14:paraId="08A4856C" w14:textId="77777777" w:rsidR="00152144" w:rsidRPr="00733F83" w:rsidRDefault="00152144" w:rsidP="0075598B">
            <w:pPr>
              <w:spacing w:after="160"/>
              <w:ind w:right="30"/>
              <w:jc w:val="both"/>
              <w:rPr>
                <w:color w:val="000000"/>
              </w:rPr>
            </w:pPr>
          </w:p>
          <w:p w14:paraId="2A9F28D9" w14:textId="2920648E" w:rsidR="003776C4" w:rsidRPr="00733F83" w:rsidRDefault="0075598B" w:rsidP="0075598B">
            <w:pPr>
              <w:spacing w:after="160"/>
              <w:ind w:right="30"/>
              <w:jc w:val="both"/>
              <w:rPr>
                <w:color w:val="000000" w:themeColor="text1"/>
                <w:lang w:val="es-CO"/>
              </w:rPr>
            </w:pPr>
            <w:r w:rsidRPr="4FEE5D7A">
              <w:rPr>
                <w:color w:val="000000" w:themeColor="text1"/>
                <w:lang w:val="es-CO"/>
              </w:rPr>
              <w:t xml:space="preserve">L'Assemblée de la COI, à sa </w:t>
            </w:r>
            <w:r w:rsidR="00217E95" w:rsidRPr="4FEE5D7A">
              <w:rPr>
                <w:color w:val="000000" w:themeColor="text1"/>
                <w:lang w:val="es-CO"/>
              </w:rPr>
              <w:t xml:space="preserve">33e </w:t>
            </w:r>
            <w:r w:rsidRPr="4FEE5D7A">
              <w:rPr>
                <w:color w:val="000000" w:themeColor="text1"/>
                <w:lang w:val="es-CO"/>
              </w:rPr>
              <w:t xml:space="preserve">session (Paris, France, </w:t>
            </w:r>
            <w:r w:rsidR="00217E95" w:rsidRPr="4FEE5D7A">
              <w:rPr>
                <w:color w:val="000000" w:themeColor="text1"/>
                <w:lang w:val="es-CO"/>
              </w:rPr>
              <w:t>25 juin - 3 juillet 2025</w:t>
            </w:r>
            <w:r w:rsidRPr="4FEE5D7A">
              <w:rPr>
                <w:color w:val="000000" w:themeColor="text1"/>
                <w:lang w:val="es-CO"/>
              </w:rPr>
              <w:t>), sera invitée à examiner le résumé analytique présenté dans le Document relatif aux décisions à prendre (</w:t>
            </w:r>
            <w:r w:rsidR="00217E95" w:rsidRPr="4FEE5D7A">
              <w:rPr>
                <w:color w:val="000000" w:themeColor="text1"/>
                <w:lang w:val="es-CO"/>
              </w:rPr>
              <w:t xml:space="preserve">IOC/A-33/AP </w:t>
            </w:r>
            <w:r w:rsidRPr="4FEE5D7A">
              <w:rPr>
                <w:color w:val="000000" w:themeColor="text1"/>
                <w:lang w:val="es-CO"/>
              </w:rPr>
              <w:t>Prov.) et par le Président de la Sous-Commission en séance plénière, ainsi que les recommandations contenues dans le présent document.</w:t>
            </w:r>
          </w:p>
        </w:tc>
      </w:tr>
    </w:tbl>
    <w:p w14:paraId="02E98AA1" w14:textId="77777777" w:rsidR="003776C4" w:rsidRPr="00733F83" w:rsidRDefault="003776C4">
      <w:pPr>
        <w:widowControl/>
        <w:pBdr>
          <w:top w:val="nil"/>
          <w:left w:val="nil"/>
          <w:bottom w:val="nil"/>
          <w:right w:val="nil"/>
          <w:between w:val="nil"/>
        </w:pBdr>
        <w:rPr>
          <w:color w:val="000000"/>
          <w:sz w:val="24"/>
          <w:szCs w:val="24"/>
        </w:rPr>
      </w:pPr>
    </w:p>
    <w:p w14:paraId="547800C1" w14:textId="77777777" w:rsidR="00E12F57" w:rsidRPr="00733F83" w:rsidRDefault="00E12F57" w:rsidP="00E12F57">
      <w:pPr>
        <w:spacing w:before="240" w:after="240"/>
        <w:rPr>
          <w:b/>
          <w:sz w:val="23"/>
          <w:szCs w:val="23"/>
        </w:rPr>
      </w:pPr>
    </w:p>
    <w:p w14:paraId="1AC1C3C9" w14:textId="77777777" w:rsidR="00991D49" w:rsidRPr="00733F83" w:rsidRDefault="00991D49" w:rsidP="00E12F57">
      <w:pPr>
        <w:spacing w:before="240" w:after="240"/>
        <w:rPr>
          <w:b/>
          <w:sz w:val="23"/>
          <w:szCs w:val="23"/>
        </w:rPr>
      </w:pPr>
    </w:p>
    <w:p w14:paraId="1680AE12" w14:textId="77777777" w:rsidR="003776C4" w:rsidRPr="00733F83" w:rsidRDefault="00953AAF" w:rsidP="00E12F57">
      <w:pPr>
        <w:spacing w:before="240" w:after="240"/>
        <w:rPr>
          <w:b/>
          <w:sz w:val="23"/>
          <w:szCs w:val="23"/>
        </w:rPr>
      </w:pPr>
      <w:r w:rsidRPr="00733F83">
        <w:rPr>
          <w:b/>
          <w:sz w:val="23"/>
          <w:szCs w:val="23"/>
        </w:rPr>
        <w:t>Introduction</w:t>
      </w:r>
    </w:p>
    <w:p w14:paraId="61A296EB" w14:textId="61CA7BC5" w:rsidR="00D104C9" w:rsidRPr="00733F83" w:rsidRDefault="00D104C9" w:rsidP="00E12F57">
      <w:pPr>
        <w:numPr>
          <w:ilvl w:val="0"/>
          <w:numId w:val="2"/>
        </w:numPr>
        <w:pBdr>
          <w:top w:val="nil"/>
          <w:left w:val="nil"/>
          <w:bottom w:val="nil"/>
          <w:right w:val="nil"/>
          <w:between w:val="nil"/>
        </w:pBdr>
        <w:spacing w:before="240" w:after="240"/>
        <w:ind w:left="0" w:firstLine="0"/>
        <w:jc w:val="both"/>
        <w:rPr>
          <w:lang w:val="es-CO"/>
        </w:rPr>
      </w:pPr>
      <w:r w:rsidRPr="4FEE5D7A">
        <w:rPr>
          <w:lang w:val="es-CO"/>
        </w:rPr>
        <w:t xml:space="preserve">La dix-huitième session de la Sous-Commission de la COI pour la mer des Caraïbes et les régions adjacentes (SC-IOCARIBE-XVIII) s'est tenue à Brasilia (Brésil) du 23 au 25 avril 2025. La session a réuni </w:t>
      </w:r>
      <w:r w:rsidR="00A8531A" w:rsidRPr="4FEE5D7A">
        <w:rPr>
          <w:lang w:val="es-CO"/>
        </w:rPr>
        <w:t xml:space="preserve">128 </w:t>
      </w:r>
      <w:r w:rsidRPr="4FEE5D7A">
        <w:rPr>
          <w:lang w:val="es-CO"/>
        </w:rPr>
        <w:t>participants</w:t>
      </w:r>
      <w:r w:rsidR="00A8531A" w:rsidRPr="4FEE5D7A">
        <w:rPr>
          <w:lang w:val="es-CO"/>
        </w:rPr>
        <w:t xml:space="preserve">, dont des représentants de </w:t>
      </w:r>
      <w:r w:rsidR="00BD1686" w:rsidRPr="4FEE5D7A">
        <w:rPr>
          <w:lang w:val="es-CO"/>
        </w:rPr>
        <w:t xml:space="preserve">17 </w:t>
      </w:r>
      <w:r w:rsidR="00EC035E" w:rsidRPr="4FEE5D7A">
        <w:rPr>
          <w:lang w:val="es-CO"/>
        </w:rPr>
        <w:t>pays</w:t>
      </w:r>
      <w:r w:rsidR="00A8531A" w:rsidRPr="4FEE5D7A">
        <w:rPr>
          <w:lang w:val="es-CO"/>
        </w:rPr>
        <w:t xml:space="preserve">, </w:t>
      </w:r>
      <w:r w:rsidR="00522DAE" w:rsidRPr="4FEE5D7A">
        <w:rPr>
          <w:lang w:val="es-CO"/>
        </w:rPr>
        <w:t xml:space="preserve">quatre (4) </w:t>
      </w:r>
      <w:r w:rsidRPr="4FEE5D7A">
        <w:rPr>
          <w:lang w:val="es-CO"/>
        </w:rPr>
        <w:t xml:space="preserve">agences des Nations Unies et </w:t>
      </w:r>
      <w:r w:rsidR="00522DAE" w:rsidRPr="4FEE5D7A">
        <w:rPr>
          <w:lang w:val="es-CO"/>
        </w:rPr>
        <w:t>trois (</w:t>
      </w:r>
      <w:r w:rsidR="00EC035E" w:rsidRPr="4FEE5D7A">
        <w:rPr>
          <w:lang w:val="es-CO"/>
        </w:rPr>
        <w:t>3</w:t>
      </w:r>
      <w:r w:rsidR="00522DAE" w:rsidRPr="4FEE5D7A">
        <w:rPr>
          <w:lang w:val="es-CO"/>
        </w:rPr>
        <w:t xml:space="preserve">) </w:t>
      </w:r>
      <w:r w:rsidRPr="4FEE5D7A">
        <w:rPr>
          <w:lang w:val="es-CO"/>
        </w:rPr>
        <w:t xml:space="preserve">organisations régionales. Lors de cette session, </w:t>
      </w:r>
      <w:r w:rsidR="00522DAE" w:rsidRPr="4FEE5D7A">
        <w:rPr>
          <w:lang w:val="es-CO"/>
        </w:rPr>
        <w:t xml:space="preserve">la Sous-Commission </w:t>
      </w:r>
      <w:r w:rsidRPr="4FEE5D7A">
        <w:rPr>
          <w:lang w:val="es-CO"/>
        </w:rPr>
        <w:t xml:space="preserve">a examiné les progrès réalisés au cours de la période intersessions </w:t>
      </w:r>
      <w:r w:rsidR="00EC035E" w:rsidRPr="4FEE5D7A">
        <w:rPr>
          <w:lang w:val="es-CO"/>
        </w:rPr>
        <w:t xml:space="preserve">2024-2025 </w:t>
      </w:r>
      <w:r w:rsidRPr="4FEE5D7A">
        <w:rPr>
          <w:lang w:val="es-CO"/>
        </w:rPr>
        <w:t xml:space="preserve">et a adopté </w:t>
      </w:r>
      <w:r w:rsidR="00953AAF" w:rsidRPr="4FEE5D7A">
        <w:rPr>
          <w:lang w:val="es-CO"/>
        </w:rPr>
        <w:t xml:space="preserve">14 </w:t>
      </w:r>
      <w:r w:rsidRPr="4FEE5D7A">
        <w:rPr>
          <w:lang w:val="es-CO"/>
        </w:rPr>
        <w:t>recommandations.</w:t>
      </w:r>
    </w:p>
    <w:p w14:paraId="35849FEC" w14:textId="23E7BFE0" w:rsidR="00FA71BC" w:rsidRPr="00733F83" w:rsidRDefault="00FA71BC" w:rsidP="00BD1686">
      <w:pPr>
        <w:numPr>
          <w:ilvl w:val="0"/>
          <w:numId w:val="2"/>
        </w:numPr>
        <w:pBdr>
          <w:top w:val="nil"/>
          <w:left w:val="nil"/>
          <w:bottom w:val="nil"/>
          <w:right w:val="nil"/>
          <w:between w:val="nil"/>
        </w:pBdr>
        <w:spacing w:before="240" w:after="240"/>
        <w:ind w:left="0" w:firstLine="0"/>
        <w:jc w:val="both"/>
      </w:pPr>
      <w:r w:rsidRPr="00733F83">
        <w:t>La</w:t>
      </w:r>
      <w:r w:rsidR="00953AAF" w:rsidRPr="00733F83">
        <w:t xml:space="preserve"> Sous-Commission a </w:t>
      </w:r>
      <w:r w:rsidR="00BD1686" w:rsidRPr="00733F83">
        <w:t xml:space="preserve">remercié </w:t>
      </w:r>
      <w:r w:rsidR="00953AAF" w:rsidRPr="00733F83">
        <w:t xml:space="preserve">le Gouvernement brésilien et le Bureau de l'UNESCO à Brasilia pour leur collaboration dans l'accueil de la dix-huitième session de la Sous-Commission de la COI </w:t>
      </w:r>
      <w:r w:rsidR="00BD1686" w:rsidRPr="00733F83">
        <w:t>et a félicité le Brésil d'</w:t>
      </w:r>
      <w:r w:rsidRPr="00733F83">
        <w:t xml:space="preserve">être devenu le premier pays reconnu par l'UNESCO à s'engager officiellement à intégrer </w:t>
      </w:r>
      <w:r w:rsidR="00AD6CF9" w:rsidRPr="00AD6CF9">
        <w:t>l’accès aux connaissances de l’océan</w:t>
      </w:r>
      <w:r w:rsidR="00990909">
        <w:t xml:space="preserve"> </w:t>
      </w:r>
      <w:r w:rsidRPr="00733F83">
        <w:t>dans son programme scolaire national.</w:t>
      </w:r>
    </w:p>
    <w:p w14:paraId="3BF7DF73" w14:textId="77777777" w:rsidR="00953AAF" w:rsidRPr="00733F83" w:rsidRDefault="00953AAF" w:rsidP="00E12F57">
      <w:pPr>
        <w:numPr>
          <w:ilvl w:val="0"/>
          <w:numId w:val="2"/>
        </w:numPr>
        <w:pBdr>
          <w:top w:val="nil"/>
          <w:left w:val="nil"/>
          <w:bottom w:val="nil"/>
          <w:right w:val="nil"/>
          <w:between w:val="nil"/>
        </w:pBdr>
        <w:spacing w:before="240" w:after="240"/>
        <w:ind w:left="0" w:firstLine="0"/>
        <w:jc w:val="both"/>
      </w:pPr>
      <w:r w:rsidRPr="00733F83">
        <w:t xml:space="preserve">La Sous-Commission a reconnu le soutien continu du gouvernement colombien qui a accueilli le Secrétariat dans la ville de Cartagena depuis sa création en 1986 et qui a détaché </w:t>
      </w:r>
      <w:r w:rsidRPr="00733F83">
        <w:lastRenderedPageBreak/>
        <w:t>deux professionnels pour travailler au Secrétariat.</w:t>
      </w:r>
    </w:p>
    <w:p w14:paraId="2F4419E4" w14:textId="525C1990" w:rsidR="00BD1686" w:rsidRPr="00733F83" w:rsidRDefault="00BD1686" w:rsidP="1659A7A6">
      <w:pPr>
        <w:numPr>
          <w:ilvl w:val="0"/>
          <w:numId w:val="2"/>
        </w:numPr>
        <w:pBdr>
          <w:top w:val="nil"/>
          <w:left w:val="nil"/>
          <w:bottom w:val="nil"/>
          <w:right w:val="nil"/>
          <w:between w:val="nil"/>
        </w:pBdr>
        <w:spacing w:before="240" w:after="240"/>
        <w:ind w:left="0" w:firstLine="0"/>
        <w:jc w:val="both"/>
      </w:pPr>
      <w:r w:rsidRPr="00733F83">
        <w:t xml:space="preserve">La Sous-Commission s'est félicitée de </w:t>
      </w:r>
      <w:r w:rsidR="00522DAE" w:rsidRPr="00733F83">
        <w:t xml:space="preserve">l'engagement pris </w:t>
      </w:r>
      <w:r w:rsidRPr="00733F83">
        <w:t xml:space="preserve">par le gouvernement d'Antigua-et-Barbuda d'adhérer à la COI-UNESCO et de participer activement aux activités de </w:t>
      </w:r>
      <w:r w:rsidR="00522DAE" w:rsidRPr="00733F83">
        <w:t xml:space="preserve">l'IOCARIBE </w:t>
      </w:r>
      <w:r w:rsidRPr="00733F83">
        <w:t>dans la région.</w:t>
      </w:r>
    </w:p>
    <w:p w14:paraId="62A214DF" w14:textId="77777777" w:rsidR="00D104C9" w:rsidRPr="00733F83" w:rsidRDefault="00E12F57" w:rsidP="00E12F57">
      <w:pPr>
        <w:pBdr>
          <w:top w:val="nil"/>
          <w:left w:val="nil"/>
          <w:bottom w:val="nil"/>
          <w:right w:val="nil"/>
          <w:between w:val="nil"/>
        </w:pBdr>
        <w:spacing w:before="240" w:after="240"/>
        <w:jc w:val="both"/>
        <w:rPr>
          <w:b/>
          <w:bCs/>
        </w:rPr>
      </w:pPr>
      <w:r w:rsidRPr="00733F83">
        <w:rPr>
          <w:b/>
          <w:bCs/>
        </w:rPr>
        <w:t>Principaux résultats de la session</w:t>
      </w:r>
    </w:p>
    <w:p w14:paraId="7F078F11" w14:textId="6F8B447F" w:rsidR="00BD1686" w:rsidRPr="00733F83" w:rsidRDefault="00AB0D0D" w:rsidP="1659A7A6">
      <w:pPr>
        <w:numPr>
          <w:ilvl w:val="0"/>
          <w:numId w:val="2"/>
        </w:numPr>
        <w:pBdr>
          <w:top w:val="nil"/>
          <w:left w:val="nil"/>
          <w:bottom w:val="nil"/>
          <w:right w:val="nil"/>
          <w:between w:val="nil"/>
        </w:pBdr>
        <w:spacing w:before="240" w:after="240"/>
        <w:ind w:left="0" w:firstLine="0"/>
        <w:jc w:val="both"/>
      </w:pPr>
      <w:r w:rsidRPr="00733F83">
        <w:t xml:space="preserve">La </w:t>
      </w:r>
      <w:r w:rsidR="4FA44612" w:rsidRPr="00733F83">
        <w:t>S</w:t>
      </w:r>
      <w:r w:rsidRPr="00733F83">
        <w:t>ous-</w:t>
      </w:r>
      <w:r w:rsidR="59C31F99" w:rsidRPr="00733F83">
        <w:t>C</w:t>
      </w:r>
      <w:r w:rsidRPr="00733F83">
        <w:t xml:space="preserve">ommission a pris note du rapport du secrétaire et a reconnu les progrès </w:t>
      </w:r>
      <w:r w:rsidR="00BD1686" w:rsidRPr="00733F83">
        <w:t xml:space="preserve">significatifs </w:t>
      </w:r>
      <w:r w:rsidRPr="00733F83">
        <w:t xml:space="preserve">du travail </w:t>
      </w:r>
      <w:r w:rsidR="00522DAE" w:rsidRPr="00733F83">
        <w:t xml:space="preserve">du secrétariat </w:t>
      </w:r>
      <w:r w:rsidRPr="00733F83">
        <w:t xml:space="preserve">pour faciliter la coopération internationale </w:t>
      </w:r>
      <w:r w:rsidR="002A7D95" w:rsidRPr="00733F83">
        <w:t xml:space="preserve">en matière de recherche océanique, de services et de développement des capacités </w:t>
      </w:r>
      <w:r w:rsidRPr="00733F83">
        <w:t>dans la région</w:t>
      </w:r>
      <w:r w:rsidR="002A7D95" w:rsidRPr="00733F83">
        <w:t>.</w:t>
      </w:r>
    </w:p>
    <w:p w14:paraId="60087A22" w14:textId="7D7DADE5" w:rsidR="000C64E0" w:rsidRPr="00733F83" w:rsidRDefault="00522DAE" w:rsidP="00776783">
      <w:pPr>
        <w:numPr>
          <w:ilvl w:val="0"/>
          <w:numId w:val="2"/>
        </w:numPr>
        <w:pBdr>
          <w:top w:val="nil"/>
          <w:left w:val="nil"/>
          <w:bottom w:val="nil"/>
          <w:right w:val="nil"/>
          <w:between w:val="nil"/>
        </w:pBdr>
        <w:spacing w:before="240" w:after="240"/>
        <w:ind w:left="0" w:firstLine="0"/>
        <w:jc w:val="both"/>
      </w:pPr>
      <w:r w:rsidRPr="00733F83">
        <w:t xml:space="preserve">La Sous-Commission </w:t>
      </w:r>
      <w:r w:rsidR="00776783" w:rsidRPr="00733F83">
        <w:t xml:space="preserve">a </w:t>
      </w:r>
      <w:r w:rsidR="00BD1686" w:rsidRPr="00733F83">
        <w:t xml:space="preserve">renforcé la </w:t>
      </w:r>
      <w:r w:rsidR="00776783" w:rsidRPr="00733F83">
        <w:t xml:space="preserve">gouvernance régionale des océans et la coordination scientifique </w:t>
      </w:r>
      <w:r w:rsidR="00BD1686" w:rsidRPr="00733F83">
        <w:t xml:space="preserve">en </w:t>
      </w:r>
      <w:r w:rsidR="00776783" w:rsidRPr="00733F83">
        <w:t xml:space="preserve">élargissant le réseau IOCARIBE-ANCA sur les efflorescences algales nuisibles, en </w:t>
      </w:r>
      <w:r w:rsidRPr="00733F83">
        <w:t xml:space="preserve">renforçant les relations avec </w:t>
      </w:r>
      <w:r w:rsidR="00776783" w:rsidRPr="00733F83">
        <w:t xml:space="preserve">la plateforme caribéenne du </w:t>
      </w:r>
      <w:r w:rsidR="002C2524">
        <w:t>r</w:t>
      </w:r>
      <w:r w:rsidR="00776783" w:rsidRPr="00733F83">
        <w:t xml:space="preserve">éseau mondial d'observation de l'acidification des océans (GOA-ON), en améliorant l'intégration des systèmes de données océaniques par le biais de l'IOCARIBE-GOOS et de l'IODE, et en créant un élan en faveur de l'initiation à l'océan grâce à la mise en place de l'équipe de travail de l'IOCARIBE sur </w:t>
      </w:r>
      <w:r w:rsidR="000824E5" w:rsidRPr="00AD6CF9">
        <w:t>l’accès aux connaissances de l’océan</w:t>
      </w:r>
      <w:r w:rsidR="000824E5">
        <w:t xml:space="preserve"> </w:t>
      </w:r>
      <w:r w:rsidR="00776783" w:rsidRPr="00733F83">
        <w:t xml:space="preserve">et au déploiement du </w:t>
      </w:r>
      <w:r w:rsidRPr="00733F83">
        <w:t xml:space="preserve">réseau </w:t>
      </w:r>
      <w:r w:rsidR="001D7367" w:rsidRPr="001D7367">
        <w:t>des écoles bleues de l'IOCARIBE</w:t>
      </w:r>
      <w:r w:rsidR="00776783" w:rsidRPr="00733F83">
        <w:t xml:space="preserve"> dans toute la région.</w:t>
      </w:r>
    </w:p>
    <w:p w14:paraId="4042470A" w14:textId="5C733112" w:rsidR="00770CC9" w:rsidRPr="00733F83" w:rsidRDefault="00776783" w:rsidP="1659A7A6">
      <w:pPr>
        <w:numPr>
          <w:ilvl w:val="0"/>
          <w:numId w:val="2"/>
        </w:numPr>
        <w:pBdr>
          <w:top w:val="nil"/>
          <w:left w:val="nil"/>
          <w:bottom w:val="nil"/>
          <w:right w:val="nil"/>
          <w:between w:val="nil"/>
        </w:pBdr>
        <w:spacing w:before="240" w:after="240"/>
        <w:ind w:left="0" w:firstLine="0"/>
        <w:jc w:val="both"/>
      </w:pPr>
      <w:r w:rsidRPr="6F833DC0">
        <w:rPr>
          <w:lang w:val="es-CO"/>
        </w:rPr>
        <w:t xml:space="preserve">Les domaines de mise en </w:t>
      </w:r>
      <w:proofErr w:type="spellStart"/>
      <w:r w:rsidRPr="6F833DC0">
        <w:rPr>
          <w:lang w:val="es-CO"/>
        </w:rPr>
        <w:t>œuvre</w:t>
      </w:r>
      <w:proofErr w:type="spellEnd"/>
      <w:r w:rsidRPr="6F833DC0">
        <w:rPr>
          <w:lang w:val="es-CO"/>
        </w:rPr>
        <w:t xml:space="preserve"> </w:t>
      </w:r>
      <w:proofErr w:type="spellStart"/>
      <w:r w:rsidRPr="6F833DC0">
        <w:rPr>
          <w:lang w:val="es-CO"/>
        </w:rPr>
        <w:t>prioritaires</w:t>
      </w:r>
      <w:proofErr w:type="spellEnd"/>
      <w:r w:rsidRPr="6F833DC0">
        <w:rPr>
          <w:lang w:val="es-CO"/>
        </w:rPr>
        <w:t xml:space="preserve"> de </w:t>
      </w:r>
      <w:r w:rsidR="000C64E0" w:rsidRPr="6F833DC0">
        <w:rPr>
          <w:lang w:val="es-CO"/>
        </w:rPr>
        <w:t xml:space="preserve">la </w:t>
      </w:r>
      <w:proofErr w:type="spellStart"/>
      <w:r w:rsidR="55CD07F1" w:rsidRPr="6F833DC0">
        <w:rPr>
          <w:lang w:val="es-CO"/>
        </w:rPr>
        <w:t>S</w:t>
      </w:r>
      <w:r w:rsidR="000C64E0" w:rsidRPr="6F833DC0">
        <w:rPr>
          <w:lang w:val="es-CO"/>
        </w:rPr>
        <w:t>ous</w:t>
      </w:r>
      <w:proofErr w:type="spellEnd"/>
      <w:r w:rsidR="000C64E0" w:rsidRPr="6F833DC0">
        <w:rPr>
          <w:lang w:val="es-CO"/>
        </w:rPr>
        <w:t>-</w:t>
      </w:r>
      <w:r w:rsidR="75F2257A" w:rsidRPr="6F833DC0">
        <w:rPr>
          <w:lang w:val="es-CO"/>
        </w:rPr>
        <w:t>C</w:t>
      </w:r>
      <w:r w:rsidR="000C64E0" w:rsidRPr="6F833DC0">
        <w:rPr>
          <w:lang w:val="es-CO"/>
        </w:rPr>
        <w:t xml:space="preserve">ommission </w:t>
      </w:r>
      <w:proofErr w:type="spellStart"/>
      <w:r w:rsidRPr="6F833DC0">
        <w:rPr>
          <w:lang w:val="es-CO"/>
        </w:rPr>
        <w:t>comprennent</w:t>
      </w:r>
      <w:proofErr w:type="spellEnd"/>
      <w:r w:rsidRPr="6F833DC0">
        <w:rPr>
          <w:lang w:val="es-CO"/>
        </w:rPr>
        <w:t xml:space="preserve"> le </w:t>
      </w:r>
      <w:proofErr w:type="spellStart"/>
      <w:r w:rsidRPr="6F833DC0">
        <w:rPr>
          <w:lang w:val="es-CO"/>
        </w:rPr>
        <w:t>renforcement</w:t>
      </w:r>
      <w:proofErr w:type="spellEnd"/>
      <w:r w:rsidRPr="6F833DC0">
        <w:rPr>
          <w:lang w:val="es-CO"/>
        </w:rPr>
        <w:t xml:space="preserve"> des systèmes d'observation des océans pour améliorer les prévisions et la résilience, le </w:t>
      </w:r>
      <w:r w:rsidR="00522DAE" w:rsidRPr="6F833DC0">
        <w:rPr>
          <w:lang w:val="es-CO"/>
        </w:rPr>
        <w:t xml:space="preserve">soutien à l'expansion des </w:t>
      </w:r>
      <w:r w:rsidRPr="6F833DC0">
        <w:rPr>
          <w:lang w:val="es-CO"/>
        </w:rPr>
        <w:t>systèmes d'alerte précoce multirisques, la promotion de la planification de l'espace marin à l'appui de la gestion durable des océans, le développement de capacités adaptées aux besoins régionaux et l'intégration de la connaissance des océans dans les systèmes éducatifs nationaux afin de favoriser une culture de la gestion des océans.</w:t>
      </w:r>
    </w:p>
    <w:p w14:paraId="49AC188F" w14:textId="71A8B311" w:rsidR="00770CC9" w:rsidRPr="00733F83" w:rsidRDefault="000C64E0" w:rsidP="1659A7A6">
      <w:pPr>
        <w:numPr>
          <w:ilvl w:val="0"/>
          <w:numId w:val="2"/>
        </w:numPr>
        <w:pBdr>
          <w:top w:val="nil"/>
          <w:left w:val="nil"/>
          <w:bottom w:val="nil"/>
          <w:right w:val="nil"/>
          <w:between w:val="nil"/>
        </w:pBdr>
        <w:spacing w:before="240" w:after="240"/>
        <w:ind w:left="0" w:firstLine="0"/>
        <w:jc w:val="both"/>
      </w:pPr>
      <w:r w:rsidRPr="6F833DC0">
        <w:rPr>
          <w:lang w:val="es-CO"/>
        </w:rPr>
        <w:t xml:space="preserve">Les </w:t>
      </w:r>
      <w:r w:rsidR="00776783" w:rsidRPr="6F833DC0">
        <w:rPr>
          <w:lang w:val="es-CO"/>
        </w:rPr>
        <w:t xml:space="preserve">nouveaux domaines de mise en </w:t>
      </w:r>
      <w:proofErr w:type="spellStart"/>
      <w:r w:rsidR="00776783" w:rsidRPr="6F833DC0">
        <w:rPr>
          <w:lang w:val="es-CO"/>
        </w:rPr>
        <w:t>œuvre</w:t>
      </w:r>
      <w:proofErr w:type="spellEnd"/>
      <w:r w:rsidR="00776783" w:rsidRPr="6F833DC0">
        <w:rPr>
          <w:lang w:val="es-CO"/>
        </w:rPr>
        <w:t xml:space="preserve"> de </w:t>
      </w:r>
      <w:r w:rsidRPr="6F833DC0">
        <w:rPr>
          <w:lang w:val="es-CO"/>
        </w:rPr>
        <w:t xml:space="preserve">la </w:t>
      </w:r>
      <w:proofErr w:type="spellStart"/>
      <w:r w:rsidR="24BD9FF8" w:rsidRPr="6F833DC0">
        <w:rPr>
          <w:lang w:val="es-CO"/>
        </w:rPr>
        <w:t>S</w:t>
      </w:r>
      <w:r w:rsidRPr="6F833DC0">
        <w:rPr>
          <w:lang w:val="es-CO"/>
        </w:rPr>
        <w:t>ous</w:t>
      </w:r>
      <w:proofErr w:type="spellEnd"/>
      <w:r w:rsidRPr="6F833DC0">
        <w:rPr>
          <w:lang w:val="es-CO"/>
        </w:rPr>
        <w:t>-</w:t>
      </w:r>
      <w:r w:rsidR="21406788" w:rsidRPr="6F833DC0">
        <w:rPr>
          <w:lang w:val="es-CO"/>
        </w:rPr>
        <w:t>C</w:t>
      </w:r>
      <w:r w:rsidRPr="6F833DC0">
        <w:rPr>
          <w:lang w:val="es-CO"/>
        </w:rPr>
        <w:t xml:space="preserve">ommission </w:t>
      </w:r>
      <w:proofErr w:type="spellStart"/>
      <w:r w:rsidR="00776783" w:rsidRPr="6F833DC0">
        <w:rPr>
          <w:lang w:val="es-CO"/>
        </w:rPr>
        <w:t>reflètent</w:t>
      </w:r>
      <w:proofErr w:type="spellEnd"/>
      <w:r w:rsidR="00776783" w:rsidRPr="6F833DC0">
        <w:rPr>
          <w:lang w:val="es-CO"/>
        </w:rPr>
        <w:t xml:space="preserve"> les </w:t>
      </w:r>
      <w:proofErr w:type="spellStart"/>
      <w:r w:rsidR="00776783" w:rsidRPr="6F833DC0">
        <w:rPr>
          <w:lang w:val="es-CO"/>
        </w:rPr>
        <w:t>opportunités</w:t>
      </w:r>
      <w:proofErr w:type="spellEnd"/>
      <w:r w:rsidR="00776783" w:rsidRPr="6F833DC0">
        <w:rPr>
          <w:lang w:val="es-CO"/>
        </w:rPr>
        <w:t xml:space="preserve"> et les besoins régionaux émergents. Il s'agit notamment de faire progresser la science et l'exploration des grands fonds marins dans les zones situées au-delà de la juridiction nationale (ABNJ), de </w:t>
      </w:r>
      <w:r w:rsidRPr="6F833DC0">
        <w:rPr>
          <w:lang w:val="es-CO"/>
        </w:rPr>
        <w:t xml:space="preserve">déployer des </w:t>
      </w:r>
      <w:r w:rsidR="00776783" w:rsidRPr="6F833DC0">
        <w:rPr>
          <w:lang w:val="es-CO"/>
        </w:rPr>
        <w:t>observations océaniques basées sur les navires de pêche pour améliorer la collecte de données côtières, d'</w:t>
      </w:r>
      <w:r w:rsidR="00770CC9" w:rsidRPr="6F833DC0">
        <w:rPr>
          <w:lang w:val="es-CO"/>
        </w:rPr>
        <w:t>étendre les efforts en matière d'océanographie pour faire face aux impacts du réchauffement des océans, de développer des initiatives de carbone bleu dans le cadre de solutions climatiques basées sur la nature, d'</w:t>
      </w:r>
      <w:r w:rsidR="00991D49" w:rsidRPr="6F833DC0">
        <w:rPr>
          <w:lang w:val="es-CO"/>
        </w:rPr>
        <w:t xml:space="preserve">établir des </w:t>
      </w:r>
      <w:r w:rsidR="00776783" w:rsidRPr="6F833DC0">
        <w:rPr>
          <w:lang w:val="es-CO"/>
        </w:rPr>
        <w:t xml:space="preserve">meilleures pratiques régionales par le biais du projet ADAPT, et de </w:t>
      </w:r>
      <w:r w:rsidRPr="6F833DC0">
        <w:rPr>
          <w:lang w:val="es-CO"/>
        </w:rPr>
        <w:t xml:space="preserve">renforcer la </w:t>
      </w:r>
      <w:r w:rsidR="00776783" w:rsidRPr="6F833DC0">
        <w:rPr>
          <w:lang w:val="es-CO"/>
        </w:rPr>
        <w:t xml:space="preserve">gouvernance des océans </w:t>
      </w:r>
      <w:r w:rsidRPr="6F833DC0">
        <w:rPr>
          <w:lang w:val="es-CO"/>
        </w:rPr>
        <w:t xml:space="preserve">par le biais du </w:t>
      </w:r>
      <w:r w:rsidR="00776783" w:rsidRPr="6F833DC0">
        <w:rPr>
          <w:lang w:val="es-CO"/>
        </w:rPr>
        <w:t xml:space="preserve">mécanisme de coordination des océans dans le cadre du projet PROCARIBE+ </w:t>
      </w:r>
      <w:r w:rsidR="003C70E0" w:rsidRPr="6F833DC0">
        <w:rPr>
          <w:lang w:val="es-CO"/>
        </w:rPr>
        <w:t>du PNUD/FEM/UNOPS.</w:t>
      </w:r>
    </w:p>
    <w:p w14:paraId="6A36FC30" w14:textId="77777777" w:rsidR="00776783" w:rsidRPr="00733F83" w:rsidRDefault="00776783" w:rsidP="00776783">
      <w:pPr>
        <w:numPr>
          <w:ilvl w:val="0"/>
          <w:numId w:val="2"/>
        </w:numPr>
        <w:pBdr>
          <w:top w:val="nil"/>
          <w:left w:val="nil"/>
          <w:bottom w:val="nil"/>
          <w:right w:val="nil"/>
          <w:between w:val="nil"/>
        </w:pBdr>
        <w:spacing w:before="240" w:after="240"/>
        <w:ind w:left="0" w:firstLine="0"/>
        <w:jc w:val="both"/>
      </w:pPr>
      <w:r w:rsidRPr="00733F83">
        <w:t xml:space="preserve">La Décennie de l'océan a catalysé l'action régionale par le biais de la feuille de route pour les Amériques tropicales et les Caraïbes (TAC) et l'expansion des structures de coordination de la Décennie, y compris le Bureau de coordination de la Décennie (DCO) nouvellement établi, le groupe de travail TAC, les comités nationaux de la Décennie, le réseau TAC de la Décennie de l'océan, et un mécanisme permettant aux petits États insulaires en développement (PEID) de nommer des points focaux individuels de la Décennie de l'océan pour participer à un comité régional de la Décennie (CDR) lorsque la mise en place de comités nationaux complets de la Décennie n'est pas réalisable en raison de contraintes de capacité. Ces structures soutiennent 120 actions de la Décennie approuvées dans la région, dont 108 sont menées par des institutions basées à l'ATC, et ont facilité un plus grand engagement des jeunes, des professionnels de l'océan en début de carrière (ECOP) et des PEID grâce à des programmes inclusifs et </w:t>
      </w:r>
      <w:proofErr w:type="spellStart"/>
      <w:r w:rsidRPr="00733F83">
        <w:t>co-conçus</w:t>
      </w:r>
      <w:proofErr w:type="spellEnd"/>
      <w:r w:rsidRPr="00733F83">
        <w:t>.</w:t>
      </w:r>
    </w:p>
    <w:p w14:paraId="5A75C043" w14:textId="77777777" w:rsidR="003776C4" w:rsidRPr="00733F83" w:rsidRDefault="002A7D95" w:rsidP="003A3F26">
      <w:pPr>
        <w:numPr>
          <w:ilvl w:val="0"/>
          <w:numId w:val="2"/>
        </w:numPr>
        <w:pBdr>
          <w:top w:val="nil"/>
          <w:left w:val="nil"/>
          <w:bottom w:val="nil"/>
          <w:right w:val="nil"/>
          <w:between w:val="nil"/>
        </w:pBdr>
        <w:spacing w:before="240" w:after="240"/>
        <w:ind w:left="0" w:firstLine="0"/>
        <w:jc w:val="both"/>
      </w:pPr>
      <w:r w:rsidRPr="00733F83">
        <w:t xml:space="preserve">M. Vidar Helgesen, </w:t>
      </w:r>
      <w:r w:rsidR="004A1AF0" w:rsidRPr="00733F83">
        <w:t xml:space="preserve">Secrétaire exécutif de la COI et ADG/COI de l'UNESCO, </w:t>
      </w:r>
      <w:r w:rsidRPr="00733F83">
        <w:t>a fait observer qu'</w:t>
      </w:r>
      <w:r w:rsidR="00D41F09" w:rsidRPr="00733F83">
        <w:t xml:space="preserve">il ne serait pas pratique d'aborder les questions budgétaires lors de la 18e session du SC-IOCARIBE </w:t>
      </w:r>
      <w:r w:rsidRPr="00733F83">
        <w:t xml:space="preserve">en raison des processus en cours en matière de gestion de la gouvernance, de planification et de budget, qui seront finalisés lors de la 33e session de l'Assemblée de la </w:t>
      </w:r>
      <w:r w:rsidRPr="00733F83">
        <w:lastRenderedPageBreak/>
        <w:t xml:space="preserve">COI </w:t>
      </w:r>
      <w:r w:rsidR="00D41F09" w:rsidRPr="00733F83">
        <w:t>en juin 2025</w:t>
      </w:r>
      <w:r w:rsidRPr="00733F83">
        <w:t xml:space="preserve">, et en </w:t>
      </w:r>
      <w:r w:rsidR="00D41F09" w:rsidRPr="00733F83">
        <w:t xml:space="preserve">raison de </w:t>
      </w:r>
      <w:r w:rsidRPr="00733F83">
        <w:t xml:space="preserve">nouvelles incertitudes </w:t>
      </w:r>
      <w:r w:rsidR="00D41F09" w:rsidRPr="00733F83">
        <w:t xml:space="preserve">financières liées </w:t>
      </w:r>
      <w:r w:rsidRPr="00733F83">
        <w:t xml:space="preserve">à </w:t>
      </w:r>
      <w:r w:rsidR="00D41F09" w:rsidRPr="00733F83">
        <w:t xml:space="preserve">un </w:t>
      </w:r>
      <w:r w:rsidRPr="00733F83">
        <w:t xml:space="preserve">retrait potentiel des États-Unis d'Amérique de l'UNESCO et à des changements </w:t>
      </w:r>
      <w:r w:rsidR="00D41F09" w:rsidRPr="00733F83">
        <w:t xml:space="preserve">systématiques à la NOAA. </w:t>
      </w:r>
      <w:r w:rsidRPr="00733F83">
        <w:t xml:space="preserve">Il a </w:t>
      </w:r>
      <w:r w:rsidR="00D41F09" w:rsidRPr="00733F83">
        <w:t xml:space="preserve">recommandé </w:t>
      </w:r>
      <w:r w:rsidRPr="00733F83">
        <w:t>que les sessions intergouvernementales ultérieures de l'IOCARIBE se tiennent au cours du troisième trimestre de l'année précédant une Assemblée de la COI afin de mieux s'aligner sur le cycle de planification et de budgétisation de la COI.</w:t>
      </w:r>
    </w:p>
    <w:p w14:paraId="725DA9B9" w14:textId="36C1008F" w:rsidR="00D41F09" w:rsidRPr="006A1A38" w:rsidRDefault="00D41F09" w:rsidP="1659A7A6">
      <w:pPr>
        <w:pBdr>
          <w:top w:val="nil"/>
          <w:left w:val="nil"/>
          <w:bottom w:val="nil"/>
          <w:right w:val="nil"/>
          <w:between w:val="nil"/>
        </w:pBdr>
        <w:spacing w:before="240" w:after="240"/>
        <w:jc w:val="both"/>
        <w:rPr>
          <w:b/>
        </w:rPr>
      </w:pPr>
      <w:r w:rsidRPr="006A1A38">
        <w:rPr>
          <w:b/>
        </w:rPr>
        <w:t xml:space="preserve">Élections du bureau de la </w:t>
      </w:r>
      <w:r w:rsidR="74EC70E5" w:rsidRPr="006A1A38">
        <w:rPr>
          <w:b/>
        </w:rPr>
        <w:t>S</w:t>
      </w:r>
      <w:r w:rsidRPr="006A1A38">
        <w:rPr>
          <w:b/>
        </w:rPr>
        <w:t>ous-</w:t>
      </w:r>
      <w:r w:rsidR="0067B468" w:rsidRPr="006A1A38">
        <w:rPr>
          <w:b/>
        </w:rPr>
        <w:t>C</w:t>
      </w:r>
      <w:r w:rsidRPr="006A1A38">
        <w:rPr>
          <w:b/>
        </w:rPr>
        <w:t>ommission</w:t>
      </w:r>
    </w:p>
    <w:p w14:paraId="0E4500D1" w14:textId="77777777" w:rsidR="00991D49" w:rsidRPr="00733F83" w:rsidRDefault="00EE4221" w:rsidP="00991D49">
      <w:pPr>
        <w:numPr>
          <w:ilvl w:val="0"/>
          <w:numId w:val="2"/>
        </w:numPr>
        <w:pBdr>
          <w:top w:val="nil"/>
          <w:left w:val="nil"/>
          <w:bottom w:val="nil"/>
          <w:right w:val="nil"/>
          <w:between w:val="nil"/>
        </w:pBdr>
        <w:spacing w:before="240" w:after="240"/>
        <w:ind w:left="0" w:firstLine="0"/>
        <w:jc w:val="both"/>
      </w:pPr>
      <w:bookmarkStart w:id="0" w:name="_Hlk198147675"/>
      <w:r w:rsidRPr="00733F83">
        <w:t xml:space="preserve">Les États membres ont élu le Bureau pour l'exercice biennal 2026-2027 conformément au règlement intérieur applicable. </w:t>
      </w:r>
      <w:r w:rsidR="00D41F09" w:rsidRPr="00733F83">
        <w:t xml:space="preserve">Le Dr </w:t>
      </w:r>
      <w:r w:rsidRPr="00733F83">
        <w:t xml:space="preserve">Marck </w:t>
      </w:r>
      <w:r w:rsidR="00D41F09" w:rsidRPr="00733F83">
        <w:t xml:space="preserve">Oduber (Aruba) a été </w:t>
      </w:r>
      <w:r w:rsidRPr="00733F83">
        <w:t>réélu</w:t>
      </w:r>
      <w:r w:rsidR="00D41F09" w:rsidRPr="00733F83">
        <w:t xml:space="preserve"> en tant que président ; le </w:t>
      </w:r>
      <w:r w:rsidR="00927705" w:rsidRPr="00733F83">
        <w:t xml:space="preserve">Dr </w:t>
      </w:r>
      <w:r w:rsidR="00D41F09" w:rsidRPr="00733F83">
        <w:t xml:space="preserve">Soraya Silva (Venezuela) </w:t>
      </w:r>
      <w:r w:rsidRPr="00733F83">
        <w:t xml:space="preserve">et le Dr Roberto Dantas de Pinho (Brésil) ont été réélus </w:t>
      </w:r>
      <w:r w:rsidR="00D41F09" w:rsidRPr="00733F83">
        <w:t xml:space="preserve">en tant que </w:t>
      </w:r>
      <w:r w:rsidRPr="00733F83">
        <w:t xml:space="preserve">vice-présidents </w:t>
      </w:r>
      <w:r w:rsidR="00D41F09" w:rsidRPr="00733F83">
        <w:t xml:space="preserve">; </w:t>
      </w:r>
      <w:r w:rsidRPr="00733F83">
        <w:t xml:space="preserve">et le Dr </w:t>
      </w:r>
      <w:proofErr w:type="spellStart"/>
      <w:r w:rsidRPr="00733F83">
        <w:t>Rahanna</w:t>
      </w:r>
      <w:proofErr w:type="spellEnd"/>
      <w:r w:rsidRPr="00733F83">
        <w:t xml:space="preserve"> </w:t>
      </w:r>
      <w:proofErr w:type="spellStart"/>
      <w:r w:rsidRPr="00733F83">
        <w:t>Juman</w:t>
      </w:r>
      <w:proofErr w:type="spellEnd"/>
      <w:r w:rsidRPr="00733F83">
        <w:t xml:space="preserve"> (Trinité-et-Tobago) a été élue en tant que nouvelle vice-présidente. Le nouveau Bureau a été élu par acclamation.</w:t>
      </w:r>
      <w:bookmarkEnd w:id="0"/>
    </w:p>
    <w:p w14:paraId="083D06E7" w14:textId="77777777" w:rsidR="00D41F09" w:rsidRPr="00733F83" w:rsidRDefault="00991D49" w:rsidP="00991D49">
      <w:pPr>
        <w:numPr>
          <w:ilvl w:val="0"/>
          <w:numId w:val="2"/>
        </w:numPr>
        <w:pBdr>
          <w:top w:val="nil"/>
          <w:left w:val="nil"/>
          <w:bottom w:val="nil"/>
          <w:right w:val="nil"/>
          <w:between w:val="nil"/>
        </w:pBdr>
        <w:spacing w:before="240" w:after="240"/>
        <w:ind w:left="0" w:firstLine="0"/>
        <w:jc w:val="both"/>
      </w:pPr>
      <w:r w:rsidRPr="00733F83">
        <w:t xml:space="preserve">La Sous-Commission a exprimé ses sincères remerciements à M. John Victor </w:t>
      </w:r>
      <w:proofErr w:type="spellStart"/>
      <w:r w:rsidRPr="00733F83">
        <w:t>Cortinas</w:t>
      </w:r>
      <w:proofErr w:type="spellEnd"/>
      <w:r w:rsidRPr="00733F83">
        <w:t xml:space="preserve"> (</w:t>
      </w:r>
      <w:r w:rsidR="00EB3E2B" w:rsidRPr="00733F83">
        <w:t>États-Unis</w:t>
      </w:r>
      <w:r w:rsidRPr="00733F83">
        <w:t xml:space="preserve">) pour ses années de service dévoué à l'IOCARIBE, après son </w:t>
      </w:r>
      <w:r w:rsidR="009C49D6" w:rsidRPr="00733F83">
        <w:t xml:space="preserve">départ à la retraite et son </w:t>
      </w:r>
      <w:r w:rsidRPr="00733F83">
        <w:t>départ du Conseil d'administration.</w:t>
      </w:r>
    </w:p>
    <w:p w14:paraId="283E8F81" w14:textId="03DACE4A" w:rsidR="00D41F09" w:rsidRPr="00733F83" w:rsidRDefault="00D41F09" w:rsidP="1659A7A6">
      <w:pPr>
        <w:pBdr>
          <w:top w:val="nil"/>
          <w:left w:val="nil"/>
          <w:bottom w:val="nil"/>
          <w:right w:val="nil"/>
          <w:between w:val="nil"/>
        </w:pBdr>
        <w:spacing w:before="240" w:after="240"/>
        <w:jc w:val="both"/>
        <w:rPr>
          <w:b/>
          <w:bCs/>
        </w:rPr>
      </w:pPr>
      <w:r w:rsidRPr="00733F83">
        <w:rPr>
          <w:b/>
          <w:bCs/>
        </w:rPr>
        <w:t xml:space="preserve">Dates et lieu de la dix-neuvième session de la </w:t>
      </w:r>
      <w:r w:rsidR="62C8FBEF" w:rsidRPr="00733F83">
        <w:rPr>
          <w:b/>
          <w:bCs/>
        </w:rPr>
        <w:t>S</w:t>
      </w:r>
      <w:r w:rsidRPr="00733F83">
        <w:rPr>
          <w:b/>
          <w:bCs/>
        </w:rPr>
        <w:t>ous-</w:t>
      </w:r>
      <w:r w:rsidR="5C9CE25E" w:rsidRPr="00733F83">
        <w:rPr>
          <w:b/>
          <w:bCs/>
        </w:rPr>
        <w:t>C</w:t>
      </w:r>
      <w:r w:rsidRPr="00733F83">
        <w:rPr>
          <w:b/>
          <w:bCs/>
        </w:rPr>
        <w:t>ommission</w:t>
      </w:r>
    </w:p>
    <w:p w14:paraId="03141B90" w14:textId="77777777" w:rsidR="00770CC9" w:rsidRPr="00733F83" w:rsidRDefault="00D41F09" w:rsidP="007A3DA3">
      <w:pPr>
        <w:numPr>
          <w:ilvl w:val="0"/>
          <w:numId w:val="2"/>
        </w:numPr>
        <w:pBdr>
          <w:top w:val="nil"/>
          <w:left w:val="nil"/>
          <w:bottom w:val="nil"/>
          <w:right w:val="nil"/>
          <w:between w:val="nil"/>
        </w:pBdr>
        <w:spacing w:before="240" w:after="240"/>
        <w:ind w:left="0" w:firstLine="0"/>
        <w:jc w:val="both"/>
      </w:pPr>
      <w:bookmarkStart w:id="1" w:name="_Hlk198147714"/>
      <w:r w:rsidRPr="00733F83">
        <w:t xml:space="preserve">La Sous-Commission a décidé de tenir sa </w:t>
      </w:r>
      <w:r w:rsidR="00770CC9" w:rsidRPr="00733F83">
        <w:t xml:space="preserve">dix-neuvième </w:t>
      </w:r>
      <w:r w:rsidRPr="00733F83">
        <w:t xml:space="preserve">session intergouvernementale au cours du </w:t>
      </w:r>
      <w:r w:rsidR="00770CC9" w:rsidRPr="00733F83">
        <w:t xml:space="preserve">troisième </w:t>
      </w:r>
      <w:r w:rsidRPr="00733F83">
        <w:t xml:space="preserve">trimestre de 2026 </w:t>
      </w:r>
      <w:r w:rsidR="00770CC9" w:rsidRPr="00733F83">
        <w:t xml:space="preserve">afin de mieux s'aligner sur le calendrier du plan de travail et de la période budgétaire de la COI pour 2028-2029. </w:t>
      </w:r>
      <w:r w:rsidR="00EE4221" w:rsidRPr="00733F83">
        <w:t>Des manifestations d'intérêt pour accueillir la 19</w:t>
      </w:r>
      <w:r w:rsidR="00EE4221" w:rsidRPr="00733F83">
        <w:rPr>
          <w:vertAlign w:val="superscript"/>
        </w:rPr>
        <w:t>e</w:t>
      </w:r>
      <w:r w:rsidR="00EE4221" w:rsidRPr="00733F83">
        <w:t>session ont été reçues du Guatemala, du Mexique et du Royaume des Pays-Bas.</w:t>
      </w:r>
    </w:p>
    <w:bookmarkEnd w:id="1"/>
    <w:p w14:paraId="357212AB" w14:textId="77777777" w:rsidR="00D41F09" w:rsidRPr="00733F83" w:rsidRDefault="000C12A1" w:rsidP="00D41F09">
      <w:pPr>
        <w:pBdr>
          <w:top w:val="nil"/>
          <w:left w:val="nil"/>
          <w:bottom w:val="nil"/>
          <w:right w:val="nil"/>
          <w:between w:val="nil"/>
        </w:pBdr>
        <w:spacing w:before="240" w:after="240"/>
        <w:jc w:val="both"/>
        <w:rPr>
          <w:b/>
          <w:bCs/>
        </w:rPr>
      </w:pPr>
      <w:r w:rsidRPr="00733F83">
        <w:rPr>
          <w:b/>
          <w:bCs/>
        </w:rPr>
        <w:t>Adoption des décisions et des recommandations</w:t>
      </w:r>
    </w:p>
    <w:p w14:paraId="7442FC2B" w14:textId="3C0A4D33" w:rsidR="00D41F09" w:rsidRPr="00733F83" w:rsidRDefault="00EE4221" w:rsidP="1659A7A6">
      <w:pPr>
        <w:numPr>
          <w:ilvl w:val="0"/>
          <w:numId w:val="2"/>
        </w:numPr>
        <w:pBdr>
          <w:top w:val="nil"/>
          <w:left w:val="nil"/>
          <w:bottom w:val="nil"/>
          <w:right w:val="nil"/>
          <w:between w:val="nil"/>
        </w:pBdr>
        <w:spacing w:before="240" w:after="240"/>
        <w:ind w:left="0" w:firstLine="0"/>
        <w:jc w:val="both"/>
      </w:pPr>
      <w:bookmarkStart w:id="2" w:name="_Hlk198147776"/>
      <w:r w:rsidRPr="00733F83">
        <w:t xml:space="preserve">La </w:t>
      </w:r>
      <w:r w:rsidR="2F497ADD" w:rsidRPr="00733F83">
        <w:t>S</w:t>
      </w:r>
      <w:r w:rsidR="00D41F09" w:rsidRPr="00733F83">
        <w:t>ous-</w:t>
      </w:r>
      <w:r w:rsidR="79E0D731" w:rsidRPr="00733F83">
        <w:t>C</w:t>
      </w:r>
      <w:r w:rsidR="00D41F09" w:rsidRPr="00733F83">
        <w:t xml:space="preserve">ommission a adopté les </w:t>
      </w:r>
      <w:r w:rsidR="000C12A1" w:rsidRPr="00733F83">
        <w:t xml:space="preserve">quatorze (14) </w:t>
      </w:r>
      <w:r w:rsidR="00D41F09" w:rsidRPr="00733F83">
        <w:t>recommandations suivantes :</w:t>
      </w:r>
    </w:p>
    <w:tbl>
      <w:tblPr>
        <w:tblW w:w="7867"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7110"/>
      </w:tblGrid>
      <w:tr w:rsidR="000C12A1" w:rsidRPr="00733F83" w14:paraId="29C9C6A0"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bookmarkEnd w:id="2"/>
          <w:p w14:paraId="48D0EA7E" w14:textId="77777777" w:rsidR="000C12A1" w:rsidRPr="00733F83" w:rsidRDefault="000C12A1" w:rsidP="00991D49">
            <w:pPr>
              <w:pBdr>
                <w:top w:val="nil"/>
                <w:left w:val="nil"/>
                <w:bottom w:val="nil"/>
                <w:right w:val="nil"/>
                <w:between w:val="nil"/>
              </w:pBdr>
              <w:jc w:val="center"/>
            </w:pPr>
            <w:r w:rsidRPr="00733F83">
              <w:rPr>
                <w:b/>
                <w:bCs/>
              </w:rPr>
              <w:t>Non.</w:t>
            </w:r>
          </w:p>
        </w:tc>
        <w:tc>
          <w:tcPr>
            <w:tcW w:w="71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1C0BAC5" w14:textId="77777777" w:rsidR="000C12A1" w:rsidRPr="00733F83" w:rsidRDefault="000C12A1" w:rsidP="000C12A1">
            <w:pPr>
              <w:pBdr>
                <w:top w:val="nil"/>
                <w:left w:val="nil"/>
                <w:bottom w:val="nil"/>
                <w:right w:val="nil"/>
                <w:between w:val="nil"/>
              </w:pBdr>
              <w:jc w:val="both"/>
            </w:pPr>
            <w:r w:rsidRPr="00733F83">
              <w:t xml:space="preserve">Titre </w:t>
            </w:r>
          </w:p>
        </w:tc>
      </w:tr>
      <w:bookmarkStart w:id="3" w:name="_Hlk198147803"/>
      <w:tr w:rsidR="000C12A1" w:rsidRPr="00733F83" w14:paraId="69394ED9"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3CD59E4C" w14:textId="77777777" w:rsidR="000C12A1" w:rsidRPr="00733F83" w:rsidRDefault="00B841EC" w:rsidP="00991D49">
            <w:pPr>
              <w:pBdr>
                <w:top w:val="nil"/>
                <w:left w:val="nil"/>
                <w:bottom w:val="nil"/>
                <w:right w:val="nil"/>
                <w:between w:val="nil"/>
              </w:pBdr>
              <w:jc w:val="center"/>
            </w:pPr>
            <w:r w:rsidRPr="00733F83">
              <w:fldChar w:fldCharType="begin"/>
            </w:r>
            <w:r w:rsidRPr="00733F83">
              <w:instrText>HYPERLINK  \l "Recommendation_1"</w:instrText>
            </w:r>
            <w:r w:rsidRPr="00733F83">
              <w:fldChar w:fldCharType="separate"/>
            </w:r>
            <w:r w:rsidR="000C12A1" w:rsidRPr="00733F83">
              <w:rPr>
                <w:rStyle w:val="Hyperlink"/>
              </w:rPr>
              <w:t>1</w:t>
            </w:r>
            <w:r w:rsidRPr="00733F83">
              <w:fldChar w:fldCharType="end"/>
            </w:r>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6A26AFF6" w14:textId="77777777" w:rsidR="000C12A1" w:rsidRPr="00733F83" w:rsidRDefault="000C12A1" w:rsidP="00991D49">
            <w:pPr>
              <w:pBdr>
                <w:top w:val="nil"/>
                <w:left w:val="nil"/>
                <w:bottom w:val="nil"/>
                <w:right w:val="nil"/>
                <w:between w:val="nil"/>
              </w:pBdr>
              <w:ind w:left="144"/>
              <w:jc w:val="both"/>
            </w:pPr>
            <w:r w:rsidRPr="00733F83">
              <w:t xml:space="preserve">Décennie des Nations unies pour l'océanographie au service du développement durable </w:t>
            </w:r>
          </w:p>
        </w:tc>
      </w:tr>
      <w:tr w:rsidR="000C12A1" w:rsidRPr="00733F83" w14:paraId="186F8336"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5692DCE8" w14:textId="77777777" w:rsidR="000C12A1" w:rsidRPr="00733F83" w:rsidRDefault="000C12A1" w:rsidP="00991D49">
            <w:pPr>
              <w:pBdr>
                <w:top w:val="nil"/>
                <w:left w:val="nil"/>
                <w:bottom w:val="nil"/>
                <w:right w:val="nil"/>
                <w:between w:val="nil"/>
              </w:pBdr>
              <w:jc w:val="center"/>
            </w:pPr>
            <w:hyperlink w:anchor="Recommendation_2" w:history="1">
              <w:r w:rsidRPr="00733F83">
                <w:rPr>
                  <w:rStyle w:val="Hyperlink"/>
                </w:rPr>
                <w:t>2</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5B3196B5" w14:textId="77777777" w:rsidR="000C12A1" w:rsidRPr="00733F83" w:rsidRDefault="000C12A1" w:rsidP="00991D49">
            <w:pPr>
              <w:pBdr>
                <w:top w:val="nil"/>
                <w:left w:val="nil"/>
                <w:bottom w:val="nil"/>
                <w:right w:val="nil"/>
                <w:between w:val="nil"/>
              </w:pBdr>
              <w:ind w:left="144"/>
              <w:jc w:val="both"/>
            </w:pPr>
            <w:r w:rsidRPr="00733F83">
              <w:t xml:space="preserve">Connaissance des océans </w:t>
            </w:r>
          </w:p>
        </w:tc>
      </w:tr>
      <w:tr w:rsidR="000C12A1" w:rsidRPr="00733F83" w14:paraId="1745E100"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09095FD9" w14:textId="77777777" w:rsidR="000C12A1" w:rsidRPr="00733F83" w:rsidRDefault="000C12A1" w:rsidP="00991D49">
            <w:pPr>
              <w:pBdr>
                <w:top w:val="nil"/>
                <w:left w:val="nil"/>
                <w:bottom w:val="nil"/>
                <w:right w:val="nil"/>
                <w:between w:val="nil"/>
              </w:pBdr>
              <w:jc w:val="center"/>
            </w:pPr>
            <w:hyperlink w:anchor="Recommendation_3" w:history="1">
              <w:r w:rsidRPr="00733F83">
                <w:rPr>
                  <w:rStyle w:val="Hyperlink"/>
                </w:rPr>
                <w:t>3</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47AEC845" w14:textId="77777777" w:rsidR="000C12A1" w:rsidRPr="00733F83" w:rsidRDefault="000C12A1" w:rsidP="00991D49">
            <w:pPr>
              <w:pBdr>
                <w:top w:val="nil"/>
                <w:left w:val="nil"/>
                <w:bottom w:val="nil"/>
                <w:right w:val="nil"/>
                <w:between w:val="nil"/>
              </w:pBdr>
              <w:ind w:left="144"/>
              <w:jc w:val="both"/>
            </w:pPr>
            <w:r w:rsidRPr="00733F83">
              <w:t xml:space="preserve">Développement des capacités </w:t>
            </w:r>
          </w:p>
        </w:tc>
      </w:tr>
      <w:tr w:rsidR="000C12A1" w:rsidRPr="00733F83" w14:paraId="67698E1A"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ED57FFC" w14:textId="77777777" w:rsidR="000C12A1" w:rsidRPr="00733F83" w:rsidRDefault="000C12A1" w:rsidP="00991D49">
            <w:pPr>
              <w:pBdr>
                <w:top w:val="nil"/>
                <w:left w:val="nil"/>
                <w:bottom w:val="nil"/>
                <w:right w:val="nil"/>
                <w:between w:val="nil"/>
              </w:pBdr>
              <w:jc w:val="center"/>
            </w:pPr>
            <w:hyperlink w:anchor="Recommendation_4" w:history="1">
              <w:r w:rsidRPr="00733F83">
                <w:rPr>
                  <w:rStyle w:val="Hyperlink"/>
                </w:rPr>
                <w:t>4</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0F9BCF3A" w14:textId="77777777" w:rsidR="000C12A1" w:rsidRPr="00733F83" w:rsidRDefault="000C12A1" w:rsidP="00991D49">
            <w:pPr>
              <w:pBdr>
                <w:top w:val="nil"/>
                <w:left w:val="nil"/>
                <w:bottom w:val="nil"/>
                <w:right w:val="nil"/>
                <w:between w:val="nil"/>
              </w:pBdr>
              <w:ind w:left="144"/>
              <w:jc w:val="both"/>
            </w:pPr>
            <w:r w:rsidRPr="00733F83">
              <w:t xml:space="preserve">IOCARIBE-GOOS </w:t>
            </w:r>
          </w:p>
        </w:tc>
      </w:tr>
      <w:tr w:rsidR="000C12A1" w:rsidRPr="00733F83" w14:paraId="327717C9"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577D77D3" w14:textId="77777777" w:rsidR="000C12A1" w:rsidRPr="00733F83" w:rsidRDefault="000C12A1" w:rsidP="00991D49">
            <w:pPr>
              <w:pBdr>
                <w:top w:val="nil"/>
                <w:left w:val="nil"/>
                <w:bottom w:val="nil"/>
                <w:right w:val="nil"/>
                <w:between w:val="nil"/>
              </w:pBdr>
              <w:jc w:val="center"/>
            </w:pPr>
            <w:hyperlink w:anchor="Recommendation_5" w:history="1">
              <w:r w:rsidRPr="00733F83">
                <w:rPr>
                  <w:rStyle w:val="Hyperlink"/>
                </w:rPr>
                <w:t>5</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036AC793" w14:textId="77777777" w:rsidR="000C12A1" w:rsidRPr="00733F83" w:rsidRDefault="000C12A1" w:rsidP="00991D49">
            <w:pPr>
              <w:pBdr>
                <w:top w:val="nil"/>
                <w:left w:val="nil"/>
                <w:bottom w:val="nil"/>
                <w:right w:val="nil"/>
                <w:between w:val="nil"/>
              </w:pBdr>
              <w:ind w:left="144"/>
              <w:jc w:val="both"/>
            </w:pPr>
            <w:r w:rsidRPr="00733F83">
              <w:t xml:space="preserve">Carbone bleu </w:t>
            </w:r>
          </w:p>
        </w:tc>
      </w:tr>
      <w:tr w:rsidR="000C12A1" w:rsidRPr="00733F83" w14:paraId="47CA0175"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DD85B81" w14:textId="77777777" w:rsidR="000C12A1" w:rsidRPr="00733F83" w:rsidRDefault="000C12A1" w:rsidP="00991D49">
            <w:pPr>
              <w:pBdr>
                <w:top w:val="nil"/>
                <w:left w:val="nil"/>
                <w:bottom w:val="nil"/>
                <w:right w:val="nil"/>
                <w:between w:val="nil"/>
              </w:pBdr>
              <w:jc w:val="center"/>
            </w:pPr>
            <w:hyperlink w:anchor="Recommendation_6" w:history="1">
              <w:r w:rsidRPr="00733F83">
                <w:rPr>
                  <w:rStyle w:val="Hyperlink"/>
                </w:rPr>
                <w:t>6</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03B2368" w14:textId="77777777" w:rsidR="000C12A1" w:rsidRPr="00733F83" w:rsidRDefault="000C12A1" w:rsidP="00991D49">
            <w:pPr>
              <w:pBdr>
                <w:top w:val="nil"/>
                <w:left w:val="nil"/>
                <w:bottom w:val="nil"/>
                <w:right w:val="nil"/>
                <w:between w:val="nil"/>
              </w:pBdr>
              <w:ind w:left="144"/>
              <w:jc w:val="both"/>
            </w:pPr>
            <w:r w:rsidRPr="00733F83">
              <w:t xml:space="preserve">Mécanisme de coordination régionale des océans </w:t>
            </w:r>
          </w:p>
        </w:tc>
      </w:tr>
      <w:tr w:rsidR="000C12A1" w:rsidRPr="00733F83" w14:paraId="107DD023"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BA6B395" w14:textId="77777777" w:rsidR="000C12A1" w:rsidRPr="00733F83" w:rsidRDefault="000C12A1" w:rsidP="00991D49">
            <w:pPr>
              <w:pBdr>
                <w:top w:val="nil"/>
                <w:left w:val="nil"/>
                <w:bottom w:val="nil"/>
                <w:right w:val="nil"/>
                <w:between w:val="nil"/>
              </w:pBdr>
              <w:jc w:val="center"/>
            </w:pPr>
            <w:hyperlink w:anchor="Recommendation_7" w:history="1">
              <w:r w:rsidRPr="00733F83">
                <w:rPr>
                  <w:rStyle w:val="Hyperlink"/>
                </w:rPr>
                <w:t>7</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354418F2" w14:textId="77777777" w:rsidR="000C12A1" w:rsidRPr="00733F83" w:rsidRDefault="000C12A1" w:rsidP="00991D49">
            <w:pPr>
              <w:pBdr>
                <w:top w:val="nil"/>
                <w:left w:val="nil"/>
                <w:bottom w:val="nil"/>
                <w:right w:val="nil"/>
                <w:between w:val="nil"/>
              </w:pBdr>
              <w:ind w:left="144"/>
              <w:jc w:val="both"/>
            </w:pPr>
            <w:r w:rsidRPr="00733F83">
              <w:t xml:space="preserve">Aménagement de l'espace marin </w:t>
            </w:r>
          </w:p>
        </w:tc>
      </w:tr>
      <w:tr w:rsidR="000C12A1" w:rsidRPr="00733F83" w14:paraId="3A58B12A"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45A6887C" w14:textId="77777777" w:rsidR="000C12A1" w:rsidRPr="00733F83" w:rsidRDefault="000C12A1" w:rsidP="00991D49">
            <w:pPr>
              <w:pBdr>
                <w:top w:val="nil"/>
                <w:left w:val="nil"/>
                <w:bottom w:val="nil"/>
                <w:right w:val="nil"/>
                <w:between w:val="nil"/>
              </w:pBdr>
              <w:jc w:val="center"/>
            </w:pPr>
            <w:hyperlink w:anchor="Recommendation_8" w:history="1">
              <w:r w:rsidRPr="00733F83">
                <w:rPr>
                  <w:rStyle w:val="Hyperlink"/>
                </w:rPr>
                <w:t>8</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20CED89D" w14:textId="77777777" w:rsidR="000C12A1" w:rsidRPr="00733F83" w:rsidRDefault="000C12A1" w:rsidP="00991D49">
            <w:pPr>
              <w:pBdr>
                <w:top w:val="nil"/>
                <w:left w:val="nil"/>
                <w:bottom w:val="nil"/>
                <w:right w:val="nil"/>
                <w:between w:val="nil"/>
              </w:pBdr>
              <w:ind w:left="144"/>
              <w:jc w:val="both"/>
            </w:pPr>
            <w:r w:rsidRPr="00733F83">
              <w:t xml:space="preserve">Projet PROCARIBE+ du PNUD/FEM/UNOPS </w:t>
            </w:r>
          </w:p>
        </w:tc>
      </w:tr>
      <w:tr w:rsidR="000C12A1" w:rsidRPr="00733F83" w14:paraId="4FFA6C95"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7915F96" w14:textId="77777777" w:rsidR="000C12A1" w:rsidRPr="00733F83" w:rsidRDefault="000C12A1" w:rsidP="00991D49">
            <w:pPr>
              <w:pBdr>
                <w:top w:val="nil"/>
                <w:left w:val="nil"/>
                <w:bottom w:val="nil"/>
                <w:right w:val="nil"/>
                <w:between w:val="nil"/>
              </w:pBdr>
              <w:jc w:val="center"/>
            </w:pPr>
            <w:hyperlink w:anchor="Recommendation_9" w:history="1">
              <w:r w:rsidRPr="00733F83">
                <w:rPr>
                  <w:rStyle w:val="Hyperlink"/>
                </w:rPr>
                <w:t>9</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1F0CFAB3" w14:textId="77777777" w:rsidR="000C12A1" w:rsidRPr="00733F83" w:rsidRDefault="000C12A1" w:rsidP="00991D49">
            <w:pPr>
              <w:pBdr>
                <w:top w:val="nil"/>
                <w:left w:val="nil"/>
                <w:bottom w:val="nil"/>
                <w:right w:val="nil"/>
                <w:between w:val="nil"/>
              </w:pBdr>
              <w:ind w:left="144"/>
              <w:jc w:val="both"/>
            </w:pPr>
            <w:r w:rsidRPr="00733F83">
              <w:t xml:space="preserve">Données et informations sur les océans </w:t>
            </w:r>
          </w:p>
        </w:tc>
      </w:tr>
      <w:tr w:rsidR="000C12A1" w:rsidRPr="00733F83" w14:paraId="6D6CB475"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55247BE0" w14:textId="77777777" w:rsidR="000C12A1" w:rsidRPr="00733F83" w:rsidRDefault="000C12A1" w:rsidP="00991D49">
            <w:pPr>
              <w:pBdr>
                <w:top w:val="nil"/>
                <w:left w:val="nil"/>
                <w:bottom w:val="nil"/>
                <w:right w:val="nil"/>
                <w:between w:val="nil"/>
              </w:pBdr>
              <w:jc w:val="center"/>
            </w:pPr>
            <w:hyperlink w:anchor="Recommendation_10" w:history="1">
              <w:r w:rsidRPr="00733F83">
                <w:rPr>
                  <w:rStyle w:val="Hyperlink"/>
                </w:rPr>
                <w:t>10</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73B121DB" w14:textId="77777777" w:rsidR="000C12A1" w:rsidRPr="00733F83" w:rsidRDefault="000C12A1" w:rsidP="00991D49">
            <w:pPr>
              <w:pBdr>
                <w:top w:val="nil"/>
                <w:left w:val="nil"/>
                <w:bottom w:val="nil"/>
                <w:right w:val="nil"/>
                <w:between w:val="nil"/>
              </w:pBdr>
              <w:ind w:left="144"/>
              <w:jc w:val="both"/>
            </w:pPr>
            <w:r w:rsidRPr="00733F83">
              <w:t xml:space="preserve">Groupe de travail </w:t>
            </w:r>
            <w:proofErr w:type="spellStart"/>
            <w:r w:rsidRPr="00733F83">
              <w:t>Sargassum</w:t>
            </w:r>
            <w:proofErr w:type="spellEnd"/>
            <w:r w:rsidRPr="00733F83">
              <w:t xml:space="preserve"> </w:t>
            </w:r>
          </w:p>
        </w:tc>
      </w:tr>
      <w:tr w:rsidR="000C12A1" w:rsidRPr="00733F83" w14:paraId="03EF8630"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E53EDE7" w14:textId="77777777" w:rsidR="000C12A1" w:rsidRPr="00733F83" w:rsidRDefault="000C12A1" w:rsidP="00991D49">
            <w:pPr>
              <w:pBdr>
                <w:top w:val="nil"/>
                <w:left w:val="nil"/>
                <w:bottom w:val="nil"/>
                <w:right w:val="nil"/>
                <w:between w:val="nil"/>
              </w:pBdr>
              <w:jc w:val="center"/>
            </w:pPr>
            <w:hyperlink w:anchor="Recommendation_11" w:history="1">
              <w:r w:rsidRPr="00733F83">
                <w:rPr>
                  <w:rStyle w:val="Hyperlink"/>
                </w:rPr>
                <w:t>11</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74DAAB6E" w14:textId="77777777" w:rsidR="000C12A1" w:rsidRPr="00733F83" w:rsidRDefault="000C12A1" w:rsidP="00991D49">
            <w:pPr>
              <w:pBdr>
                <w:top w:val="nil"/>
                <w:left w:val="nil"/>
                <w:bottom w:val="nil"/>
                <w:right w:val="nil"/>
                <w:between w:val="nil"/>
              </w:pBdr>
              <w:ind w:left="144"/>
              <w:jc w:val="both"/>
            </w:pPr>
            <w:r w:rsidRPr="00733F83">
              <w:t xml:space="preserve">Acidification des océans </w:t>
            </w:r>
          </w:p>
        </w:tc>
      </w:tr>
      <w:tr w:rsidR="000C12A1" w:rsidRPr="00733F83" w14:paraId="4980C489"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6FB9038" w14:textId="77777777" w:rsidR="000C12A1" w:rsidRPr="00733F83" w:rsidRDefault="000C12A1" w:rsidP="00991D49">
            <w:pPr>
              <w:pBdr>
                <w:top w:val="nil"/>
                <w:left w:val="nil"/>
                <w:bottom w:val="nil"/>
                <w:right w:val="nil"/>
                <w:between w:val="nil"/>
              </w:pBdr>
              <w:jc w:val="center"/>
            </w:pPr>
            <w:hyperlink w:anchor="Recommendation_12" w:history="1">
              <w:r w:rsidRPr="00733F83">
                <w:rPr>
                  <w:rStyle w:val="Hyperlink"/>
                </w:rPr>
                <w:t>12</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4BD87156" w14:textId="77777777" w:rsidR="000C12A1" w:rsidRPr="00733F83" w:rsidRDefault="000C12A1" w:rsidP="00991D49">
            <w:pPr>
              <w:pBdr>
                <w:top w:val="nil"/>
                <w:left w:val="nil"/>
                <w:bottom w:val="nil"/>
                <w:right w:val="nil"/>
                <w:between w:val="nil"/>
              </w:pBdr>
              <w:ind w:left="144"/>
              <w:jc w:val="both"/>
            </w:pPr>
            <w:r w:rsidRPr="00733F83">
              <w:t xml:space="preserve">Contacts nationaux </w:t>
            </w:r>
          </w:p>
        </w:tc>
      </w:tr>
      <w:tr w:rsidR="000C12A1" w:rsidRPr="00733F83" w14:paraId="7AD16714"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C00A2DE" w14:textId="77777777" w:rsidR="000C12A1" w:rsidRPr="00733F83" w:rsidRDefault="000C12A1" w:rsidP="00991D49">
            <w:pPr>
              <w:pBdr>
                <w:top w:val="nil"/>
                <w:left w:val="nil"/>
                <w:bottom w:val="nil"/>
                <w:right w:val="nil"/>
                <w:between w:val="nil"/>
              </w:pBdr>
              <w:jc w:val="center"/>
            </w:pPr>
            <w:hyperlink w:anchor="Recommendation_13" w:history="1">
              <w:r w:rsidRPr="00733F83">
                <w:rPr>
                  <w:rStyle w:val="Hyperlink"/>
                </w:rPr>
                <w:t>13</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6F751C73" w14:textId="77777777" w:rsidR="000C12A1" w:rsidRPr="00733F83" w:rsidRDefault="000C12A1" w:rsidP="00991D49">
            <w:pPr>
              <w:pBdr>
                <w:top w:val="nil"/>
                <w:left w:val="nil"/>
                <w:bottom w:val="nil"/>
                <w:right w:val="nil"/>
                <w:between w:val="nil"/>
              </w:pBdr>
              <w:ind w:left="144"/>
              <w:jc w:val="both"/>
            </w:pPr>
            <w:r w:rsidRPr="00733F83">
              <w:t xml:space="preserve">Efflorescences algales nuisibles </w:t>
            </w:r>
          </w:p>
        </w:tc>
      </w:tr>
      <w:tr w:rsidR="000C12A1" w:rsidRPr="00733F83" w14:paraId="1416E2D5" w14:textId="77777777" w:rsidTr="00991D49">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4E6C5B7B" w14:textId="77777777" w:rsidR="000C12A1" w:rsidRPr="00733F83" w:rsidRDefault="000C12A1" w:rsidP="00991D49">
            <w:pPr>
              <w:pBdr>
                <w:top w:val="nil"/>
                <w:left w:val="nil"/>
                <w:bottom w:val="nil"/>
                <w:right w:val="nil"/>
                <w:between w:val="nil"/>
              </w:pBdr>
              <w:jc w:val="center"/>
            </w:pPr>
            <w:hyperlink w:anchor="Recommendation_14" w:history="1">
              <w:r w:rsidRPr="00733F83">
                <w:rPr>
                  <w:rStyle w:val="Hyperlink"/>
                </w:rPr>
                <w:t>14</w:t>
              </w:r>
            </w:hyperlink>
          </w:p>
        </w:tc>
        <w:tc>
          <w:tcPr>
            <w:tcW w:w="7110" w:type="dxa"/>
            <w:tcBorders>
              <w:top w:val="single" w:sz="6" w:space="0" w:color="000000"/>
              <w:left w:val="single" w:sz="6" w:space="0" w:color="000000"/>
              <w:bottom w:val="single" w:sz="6" w:space="0" w:color="000000"/>
              <w:right w:val="single" w:sz="6" w:space="0" w:color="000000"/>
            </w:tcBorders>
            <w:shd w:val="clear" w:color="auto" w:fill="auto"/>
            <w:hideMark/>
          </w:tcPr>
          <w:p w14:paraId="2DFE6935" w14:textId="77777777" w:rsidR="000C12A1" w:rsidRPr="00733F83" w:rsidRDefault="000C12A1" w:rsidP="00991D49">
            <w:pPr>
              <w:pBdr>
                <w:top w:val="nil"/>
                <w:left w:val="nil"/>
                <w:bottom w:val="nil"/>
                <w:right w:val="nil"/>
                <w:between w:val="nil"/>
              </w:pBdr>
              <w:ind w:left="144"/>
              <w:jc w:val="both"/>
            </w:pPr>
            <w:r w:rsidRPr="00733F83">
              <w:t xml:space="preserve">Alliance atlantique pour la recherche et l'innovation océaniques </w:t>
            </w:r>
          </w:p>
        </w:tc>
      </w:tr>
    </w:tbl>
    <w:bookmarkEnd w:id="3"/>
    <w:p w14:paraId="4D08D148" w14:textId="77777777" w:rsidR="00BC5D93" w:rsidRPr="00733F83" w:rsidRDefault="00BC5D93" w:rsidP="00BC5D93">
      <w:pPr>
        <w:numPr>
          <w:ilvl w:val="0"/>
          <w:numId w:val="2"/>
        </w:numPr>
        <w:pBdr>
          <w:top w:val="nil"/>
          <w:left w:val="nil"/>
          <w:bottom w:val="nil"/>
          <w:right w:val="nil"/>
          <w:between w:val="nil"/>
        </w:pBdr>
        <w:spacing w:before="240" w:after="240"/>
        <w:ind w:left="0" w:firstLine="0"/>
        <w:jc w:val="both"/>
      </w:pPr>
      <w:r w:rsidRPr="00733F83">
        <w:t>D'autres recommandations ont été formulées au cours de la conférence SC-IOCARIBE-XVIII, bien qu'elles n'aient pas été formellement adoptées :</w:t>
      </w:r>
    </w:p>
    <w:p w14:paraId="66519111"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 xml:space="preserve">Collaborer avec le conseil d'administration de l'IOCARIBE pour élaborer conjointement un projet de document d'action pour le SC-IOCARIBE-XIX au moins 1 à 2 mois à l'avance, afin de permettre aux États membres d'apporter leur </w:t>
      </w:r>
      <w:r w:rsidRPr="00733F83">
        <w:lastRenderedPageBreak/>
        <w:t>contribution plus tôt.</w:t>
      </w:r>
    </w:p>
    <w:p w14:paraId="6237382D"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Envisager la création d'un sous-groupe spécialisé sous l'égide du conseil d'administration de l'IOCARIBE afin d'entamer des consultations préliminaires sur le plan de travail et le budget pour le prochain exercice biennal.</w:t>
      </w:r>
    </w:p>
    <w:p w14:paraId="7B7311FA"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Renforcer le soutien à la recherche en eaux profondes menée au niveau local, y compris le développement des capacités à bord pour les scientifiques régionaux.</w:t>
      </w:r>
    </w:p>
    <w:p w14:paraId="088598C9"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 xml:space="preserve">Renforcer la coordination entre l'IOCARIBE et le GIC/CARIBE-EWS par le développement d'une stratégie commune alignée sur les initiatives MHEWS (Multi-Hazard Early Warning </w:t>
      </w:r>
      <w:proofErr w:type="spellStart"/>
      <w:r w:rsidRPr="00733F83">
        <w:t>Systems</w:t>
      </w:r>
      <w:proofErr w:type="spellEnd"/>
      <w:r w:rsidRPr="00733F83">
        <w:t>) et EW4All (Early Warnings for All).</w:t>
      </w:r>
    </w:p>
    <w:p w14:paraId="08431F54"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Explorer des mécanismes de financement supplémentaires pour soutenir la diffusion du programme de formation à l'observation des océans ADAPT en anglais, parallèlement à sa version espagnole existante.</w:t>
      </w:r>
    </w:p>
    <w:p w14:paraId="121597DC"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Encourager les États membres à collaborer avec les ministères de l'éducation pour intégrer officiellement la connaissance des océans dans les programmes nationaux, en s'inspirant de l'exemple du Brésil.</w:t>
      </w:r>
    </w:p>
    <w:p w14:paraId="616F8B31" w14:textId="77777777" w:rsidR="00BC5D93" w:rsidRPr="00733F83" w:rsidRDefault="00BC5D93" w:rsidP="00BC5D93">
      <w:pPr>
        <w:numPr>
          <w:ilvl w:val="1"/>
          <w:numId w:val="2"/>
        </w:numPr>
        <w:pBdr>
          <w:top w:val="nil"/>
          <w:left w:val="nil"/>
          <w:bottom w:val="nil"/>
          <w:right w:val="nil"/>
          <w:between w:val="nil"/>
        </w:pBdr>
        <w:spacing w:before="240" w:after="240"/>
        <w:jc w:val="both"/>
      </w:pPr>
      <w:r w:rsidRPr="00733F83">
        <w:t>Poursuivre les efforts pour établir un secrétariat de l'IOCARIBE trilingue (anglais, espagnol et français) afin d'améliorer la communication et l'inclusion dans la région.</w:t>
      </w:r>
    </w:p>
    <w:p w14:paraId="0F3BC074" w14:textId="77777777" w:rsidR="00EB3E2B" w:rsidRPr="00733F83" w:rsidRDefault="00EB3E2B">
      <w:r w:rsidRPr="00733F83">
        <w:br w:type="page"/>
      </w:r>
    </w:p>
    <w:p w14:paraId="0252D9F7" w14:textId="77777777" w:rsidR="00EB3E2B" w:rsidRPr="00733F83" w:rsidRDefault="00EB3E2B" w:rsidP="00EB3E2B">
      <w:pPr>
        <w:jc w:val="center"/>
      </w:pPr>
    </w:p>
    <w:p w14:paraId="3F809892" w14:textId="77777777" w:rsidR="00EB3E2B" w:rsidRPr="00733F83" w:rsidRDefault="00EB3E2B" w:rsidP="00EB3E2B">
      <w:pPr>
        <w:jc w:val="center"/>
      </w:pPr>
    </w:p>
    <w:p w14:paraId="4369E997" w14:textId="77777777" w:rsidR="00EB3E2B" w:rsidRPr="00733F83" w:rsidRDefault="00EB3E2B" w:rsidP="00EB3E2B">
      <w:pPr>
        <w:jc w:val="center"/>
      </w:pPr>
      <w:r w:rsidRPr="00733F83">
        <w:t>ANNEXE</w:t>
      </w:r>
    </w:p>
    <w:p w14:paraId="51331A73" w14:textId="77777777" w:rsidR="00EB3E2B" w:rsidRPr="00733F83" w:rsidRDefault="00EB3E2B" w:rsidP="00EB3E2B">
      <w:pPr>
        <w:jc w:val="center"/>
      </w:pPr>
    </w:p>
    <w:p w14:paraId="308A8A64" w14:textId="77777777" w:rsidR="00EB3E2B" w:rsidRPr="00733F83" w:rsidRDefault="00EB3E2B" w:rsidP="00EB3E2B">
      <w:pPr>
        <w:jc w:val="center"/>
        <w:rPr>
          <w:b/>
        </w:rPr>
      </w:pPr>
      <w:r w:rsidRPr="00733F83">
        <w:rPr>
          <w:b/>
        </w:rPr>
        <w:t>RECOMMANDATIONS</w:t>
      </w:r>
    </w:p>
    <w:p w14:paraId="4DEBE549" w14:textId="77777777" w:rsidR="00EB3E2B" w:rsidRPr="00733F83" w:rsidRDefault="00EB3E2B" w:rsidP="00EB3E2B">
      <w:pPr>
        <w:jc w:val="center"/>
      </w:pPr>
    </w:p>
    <w:p w14:paraId="6DC7FBE1" w14:textId="77777777" w:rsidR="00EB3E2B" w:rsidRPr="00733F83" w:rsidRDefault="00EB3E2B" w:rsidP="00EB3E2B">
      <w:pPr>
        <w:jc w:val="center"/>
        <w:rPr>
          <w:u w:val="single"/>
        </w:rPr>
      </w:pPr>
      <w:bookmarkStart w:id="4" w:name="Recommendation_1"/>
      <w:bookmarkEnd w:id="4"/>
      <w:r w:rsidRPr="00733F83">
        <w:rPr>
          <w:u w:val="single"/>
        </w:rPr>
        <w:t>Recommandation SC-IOCARIBE-XVIII.1</w:t>
      </w:r>
    </w:p>
    <w:p w14:paraId="2C16E931" w14:textId="77777777" w:rsidR="00EB3E2B" w:rsidRPr="00733F83" w:rsidRDefault="00EB3E2B" w:rsidP="00EB3E2B"/>
    <w:p w14:paraId="05FCB96C" w14:textId="77777777" w:rsidR="00EB3E2B" w:rsidRPr="00733F83" w:rsidRDefault="00EB3E2B" w:rsidP="00EB3E2B">
      <w:pPr>
        <w:jc w:val="center"/>
      </w:pPr>
      <w:r w:rsidRPr="00733F83">
        <w:rPr>
          <w:b/>
        </w:rPr>
        <w:t>Décennie des Nations unies pour l'océanographie au service du développement durable</w:t>
      </w:r>
    </w:p>
    <w:p w14:paraId="4B6215B0" w14:textId="77777777" w:rsidR="00EB3E2B" w:rsidRPr="00733F83" w:rsidRDefault="00EB3E2B" w:rsidP="00EB3E2B">
      <w:pPr>
        <w:jc w:val="center"/>
      </w:pPr>
    </w:p>
    <w:p w14:paraId="0CE6D649" w14:textId="77777777" w:rsidR="00EB3E2B" w:rsidRPr="00733F83" w:rsidRDefault="00EB3E2B" w:rsidP="00EB3E2B">
      <w:r w:rsidRPr="00733F83">
        <w:t>La sous-commission de la COI pour les Caraïbes et les régions adjacentes (IOCARIBE),</w:t>
      </w:r>
    </w:p>
    <w:p w14:paraId="0EB75DBA" w14:textId="77777777" w:rsidR="00EB3E2B" w:rsidRPr="00733F83" w:rsidRDefault="00EB3E2B" w:rsidP="00EB3E2B"/>
    <w:p w14:paraId="2B936CAF" w14:textId="0856DE47" w:rsidR="00EB3E2B" w:rsidRPr="00733F83" w:rsidRDefault="00EB3E2B" w:rsidP="00EB3E2B">
      <w:r w:rsidRPr="00733F83">
        <w:rPr>
          <w:b/>
          <w:bCs/>
        </w:rPr>
        <w:t xml:space="preserve">Rappelant </w:t>
      </w:r>
      <w:r w:rsidRPr="00733F83">
        <w:t xml:space="preserve">la recommandation XVII.9 de la </w:t>
      </w:r>
      <w:r w:rsidR="0C799B59" w:rsidRPr="00733F83">
        <w:t>S</w:t>
      </w:r>
      <w:r w:rsidRPr="00733F83">
        <w:t>ous-</w:t>
      </w:r>
      <w:r w:rsidR="71391AE1" w:rsidRPr="00733F83">
        <w:t>C</w:t>
      </w:r>
      <w:r w:rsidRPr="00733F83">
        <w:t>ommission de l'IOCARIBE qui encourage les États membres à soutenir activement la mise en œuvre de la Décennie des Nations Unies pour l'océan dans la région.</w:t>
      </w:r>
    </w:p>
    <w:p w14:paraId="51BD2D52" w14:textId="77777777" w:rsidR="00EB3E2B" w:rsidRPr="00733F83" w:rsidRDefault="00EB3E2B" w:rsidP="00EB3E2B"/>
    <w:p w14:paraId="61808205" w14:textId="77777777" w:rsidR="00EB3E2B" w:rsidRPr="00733F83" w:rsidRDefault="00EB3E2B" w:rsidP="00EB3E2B">
      <w:r w:rsidRPr="00733F83">
        <w:rPr>
          <w:b/>
        </w:rPr>
        <w:t xml:space="preserve">Reconnaissant </w:t>
      </w:r>
      <w:r w:rsidRPr="00733F83">
        <w:t>le travail effectué par l'Équipe spéciale régionale pour les Amériques tropicales et les Caraïbes (TAC) au cours de l'exercice biennal précédent et l'élaboration de la feuille de route pour la mise en œuvre de la Décennie des Nations Unies pour l'océanologie au service du développement durable 2021-2030 ("Décennie de l'océan") dans la région des Amériques tropicales et des Caraïbes (TAC) ("Feuille de route de la Décennie TAC").</w:t>
      </w:r>
    </w:p>
    <w:p w14:paraId="1A08F4DA" w14:textId="77777777" w:rsidR="00EB3E2B" w:rsidRPr="00733F83" w:rsidRDefault="00EB3E2B" w:rsidP="00EB3E2B"/>
    <w:p w14:paraId="64A60C69" w14:textId="77777777" w:rsidR="00EB3E2B" w:rsidRPr="00733F83" w:rsidRDefault="00EB3E2B" w:rsidP="00EB3E2B">
      <w:r w:rsidRPr="00733F83">
        <w:rPr>
          <w:b/>
        </w:rPr>
        <w:t xml:space="preserve">Se félicitant de </w:t>
      </w:r>
      <w:r w:rsidRPr="00733F83">
        <w:t>la création du Bureau régional de coordination de la Décennie (DCO) au sein de la Sous-commission de l'IOCARIBE.</w:t>
      </w:r>
    </w:p>
    <w:p w14:paraId="51370158" w14:textId="77777777" w:rsidR="00EB3E2B" w:rsidRPr="00733F83" w:rsidRDefault="00EB3E2B" w:rsidP="00EB3E2B"/>
    <w:p w14:paraId="463B67B5" w14:textId="77777777" w:rsidR="00EB3E2B" w:rsidRPr="00733F83" w:rsidRDefault="00EB3E2B" w:rsidP="00EB3E2B">
      <w:r w:rsidRPr="00733F83">
        <w:rPr>
          <w:b/>
        </w:rPr>
        <w:t xml:space="preserve">Demande au </w:t>
      </w:r>
      <w:r w:rsidRPr="00733F83">
        <w:t>Secrétaire de l'IOCARIBE de :</w:t>
      </w:r>
    </w:p>
    <w:p w14:paraId="70066351" w14:textId="77777777" w:rsidR="00EB3E2B" w:rsidRPr="00733F83" w:rsidRDefault="00EB3E2B" w:rsidP="00EB3E2B">
      <w:pPr>
        <w:numPr>
          <w:ilvl w:val="0"/>
          <w:numId w:val="28"/>
        </w:numPr>
        <w:spacing w:before="200" w:after="200"/>
      </w:pPr>
      <w:r w:rsidRPr="00733F83">
        <w:t>Préparer une évaluation des progrès accomplis dans la région en ce qui concerne les actions approuvées dans le cadre de la Décennie des Nations unies pour l'océan.</w:t>
      </w:r>
    </w:p>
    <w:p w14:paraId="401D0F17" w14:textId="77777777" w:rsidR="00EB3E2B" w:rsidRPr="00733F83" w:rsidRDefault="00EB3E2B" w:rsidP="00EB3E2B">
      <w:pPr>
        <w:numPr>
          <w:ilvl w:val="0"/>
          <w:numId w:val="28"/>
        </w:numPr>
        <w:spacing w:before="200" w:after="200"/>
        <w:rPr>
          <w:lang w:val="es-CO"/>
        </w:rPr>
      </w:pPr>
      <w:r w:rsidRPr="6F833DC0">
        <w:rPr>
          <w:lang w:val="es-CO"/>
        </w:rPr>
        <w:t>Élaborer un plan de mise en œuvre de la feuille de route de la décennie du TAC qui renforce la coordination entre les États membres, les agences des Nations unies, les organismes régionaux ayant des mandats liés aux océans et d'autres parties prenantes.</w:t>
      </w:r>
    </w:p>
    <w:p w14:paraId="35D8B827" w14:textId="77777777" w:rsidR="00EB3E2B" w:rsidRPr="00733F83" w:rsidRDefault="00EB3E2B" w:rsidP="00EB3E2B">
      <w:pPr>
        <w:numPr>
          <w:ilvl w:val="0"/>
          <w:numId w:val="28"/>
        </w:numPr>
        <w:spacing w:before="200" w:after="200"/>
        <w:rPr>
          <w:lang w:val="es-CO"/>
        </w:rPr>
      </w:pPr>
      <w:r w:rsidRPr="6F833DC0">
        <w:rPr>
          <w:lang w:val="es-CO"/>
        </w:rPr>
        <w:t>Coordonner les efforts de mobilisation de fonds pour permettre la mise en œuvre des actions non financées et partiellement financées de la Décennie des Nations unies pour l'océan dans la région.</w:t>
      </w:r>
    </w:p>
    <w:p w14:paraId="561D7EFE" w14:textId="77777777" w:rsidR="00EB3E2B" w:rsidRPr="00733F83" w:rsidRDefault="00EB3E2B" w:rsidP="00EB3E2B">
      <w:pPr>
        <w:numPr>
          <w:ilvl w:val="0"/>
          <w:numId w:val="28"/>
        </w:numPr>
        <w:spacing w:before="200" w:after="200"/>
        <w:rPr>
          <w:lang w:val="es-CO"/>
        </w:rPr>
      </w:pPr>
      <w:r w:rsidRPr="6F833DC0">
        <w:rPr>
          <w:lang w:val="es-CO"/>
        </w:rPr>
        <w:t>Faciliter la création d'un comité régional de la Décennie afin d'impliquer les États membres dans toute la région du TAC et de promouvoir le partage d'expériences, en particulier dans les cas où la formation de comités nationaux de la Décennie n'est pas viable à l'heure actuelle.</w:t>
      </w:r>
    </w:p>
    <w:p w14:paraId="449DB369" w14:textId="77777777" w:rsidR="00EB3E2B" w:rsidRPr="00733F83" w:rsidRDefault="00EB3E2B" w:rsidP="00EB3E2B"/>
    <w:p w14:paraId="70F89484" w14:textId="77777777" w:rsidR="00EB3E2B" w:rsidRPr="00733F83" w:rsidRDefault="00EB3E2B" w:rsidP="00EB3E2B">
      <w:pPr>
        <w:rPr>
          <w:lang w:val="es-CO"/>
        </w:rPr>
      </w:pPr>
      <w:r w:rsidRPr="6F833DC0">
        <w:rPr>
          <w:b/>
          <w:lang w:val="es-CO"/>
        </w:rPr>
        <w:t xml:space="preserve">Invite </w:t>
      </w:r>
      <w:r w:rsidRPr="6F833DC0">
        <w:rPr>
          <w:lang w:val="es-CO"/>
        </w:rPr>
        <w:t>les États membres à :</w:t>
      </w:r>
    </w:p>
    <w:p w14:paraId="0B666FD6" w14:textId="77777777" w:rsidR="00EB3E2B" w:rsidRPr="00733F83" w:rsidRDefault="00EB3E2B" w:rsidP="00EB3E2B">
      <w:pPr>
        <w:numPr>
          <w:ilvl w:val="0"/>
          <w:numId w:val="18"/>
        </w:numPr>
        <w:spacing w:before="200" w:after="200"/>
      </w:pPr>
      <w:r w:rsidRPr="00733F83">
        <w:t>Fournir des ressources en nature et financières pour les opérations du DCO, notamment par le biais de détachements, de stages, d'administrateurs auxiliaires, de prêts de personnel et de l'accueil d'événements régionaux et internationaux dans le cadre de la Décennie des Nations unies pour l'océan.</w:t>
      </w:r>
    </w:p>
    <w:p w14:paraId="73DD1D29" w14:textId="77777777" w:rsidR="00EB3E2B" w:rsidRPr="00733F83" w:rsidRDefault="00EB3E2B" w:rsidP="00EB3E2B">
      <w:pPr>
        <w:numPr>
          <w:ilvl w:val="0"/>
          <w:numId w:val="18"/>
        </w:numPr>
        <w:spacing w:before="200" w:after="200"/>
      </w:pPr>
      <w:r w:rsidRPr="00733F83">
        <w:t>Former des comités nationaux de la Décennie pour diriger l'engagement national ou, lorsque cela n'est pas possible actuellement, contribuer par le biais de représentants officiels à un comité régional de la Décennie.</w:t>
      </w:r>
    </w:p>
    <w:p w14:paraId="04B4A57C" w14:textId="77777777" w:rsidR="00EB3E2B" w:rsidRPr="00733F83" w:rsidRDefault="00EB3E2B" w:rsidP="00EB3E2B">
      <w:pPr>
        <w:numPr>
          <w:ilvl w:val="0"/>
          <w:numId w:val="18"/>
        </w:numPr>
        <w:spacing w:before="200" w:after="200"/>
      </w:pPr>
      <w:r w:rsidRPr="00733F83">
        <w:lastRenderedPageBreak/>
        <w:t>Soutenir les autres États membres en partageant les approches réussies et les enseignements tirés de la mise en place des comités nationaux de la Décennie.</w:t>
      </w:r>
    </w:p>
    <w:p w14:paraId="213D35A1" w14:textId="77777777" w:rsidR="00EB3E2B" w:rsidRPr="00733F83" w:rsidRDefault="00EB3E2B" w:rsidP="00EB3E2B"/>
    <w:p w14:paraId="443F2214" w14:textId="77777777" w:rsidR="00EB3E2B" w:rsidRPr="00733F83" w:rsidRDefault="00EB3E2B" w:rsidP="00EB3E2B">
      <w:pPr>
        <w:jc w:val="center"/>
      </w:pPr>
    </w:p>
    <w:p w14:paraId="450B22C5" w14:textId="77777777" w:rsidR="00EB3E2B" w:rsidRPr="00733F83" w:rsidRDefault="00EB3E2B" w:rsidP="00EB3E2B">
      <w:pPr>
        <w:jc w:val="center"/>
      </w:pPr>
    </w:p>
    <w:p w14:paraId="5741C0AC" w14:textId="77777777" w:rsidR="00EB3E2B" w:rsidRPr="00733F83" w:rsidRDefault="00EB3E2B" w:rsidP="00EB3E2B">
      <w:pPr>
        <w:jc w:val="center"/>
        <w:rPr>
          <w:u w:val="single"/>
        </w:rPr>
      </w:pPr>
    </w:p>
    <w:p w14:paraId="10896FE9" w14:textId="77777777" w:rsidR="00EB3E2B" w:rsidRPr="00733F83" w:rsidRDefault="00EB3E2B" w:rsidP="00EB3E2B">
      <w:pPr>
        <w:jc w:val="center"/>
        <w:rPr>
          <w:u w:val="single"/>
        </w:rPr>
      </w:pPr>
      <w:bookmarkStart w:id="5" w:name="Recommendation_2"/>
      <w:bookmarkEnd w:id="5"/>
      <w:r w:rsidRPr="00733F83">
        <w:rPr>
          <w:u w:val="single"/>
        </w:rPr>
        <w:t>Recommandation SC-IOCARIBE-XVIII.2</w:t>
      </w:r>
    </w:p>
    <w:p w14:paraId="039706EE" w14:textId="77777777" w:rsidR="00EB3E2B" w:rsidRPr="00733F83" w:rsidRDefault="00EB3E2B" w:rsidP="00EB3E2B"/>
    <w:p w14:paraId="53F17E4D" w14:textId="77777777" w:rsidR="00EB3E2B" w:rsidRPr="00733F83" w:rsidRDefault="00EB3E2B" w:rsidP="00EB3E2B">
      <w:pPr>
        <w:jc w:val="center"/>
      </w:pPr>
      <w:r w:rsidRPr="00733F83">
        <w:rPr>
          <w:b/>
        </w:rPr>
        <w:t>Connaissance des océans</w:t>
      </w:r>
    </w:p>
    <w:p w14:paraId="72871F65" w14:textId="77777777" w:rsidR="00EB3E2B" w:rsidRPr="00733F83" w:rsidRDefault="00EB3E2B" w:rsidP="00EB3E2B"/>
    <w:p w14:paraId="44CC5436" w14:textId="3C0E754A" w:rsidR="00EB3E2B" w:rsidRPr="00733F83" w:rsidRDefault="00EB3E2B" w:rsidP="00EB3E2B">
      <w:r w:rsidRPr="692DE06C">
        <w:rPr>
          <w:lang w:val="es-CO"/>
        </w:rPr>
        <w:t xml:space="preserve">La </w:t>
      </w:r>
      <w:proofErr w:type="spellStart"/>
      <w:r w:rsidR="74CCE6DC" w:rsidRPr="692DE06C">
        <w:rPr>
          <w:lang w:val="es-CO"/>
        </w:rPr>
        <w:t>S</w:t>
      </w:r>
      <w:r w:rsidRPr="692DE06C">
        <w:rPr>
          <w:lang w:val="es-CO"/>
        </w:rPr>
        <w:t>ous</w:t>
      </w:r>
      <w:proofErr w:type="spellEnd"/>
      <w:r w:rsidRPr="692DE06C">
        <w:rPr>
          <w:lang w:val="es-CO"/>
        </w:rPr>
        <w:t>-</w:t>
      </w:r>
      <w:r w:rsidR="6B696083" w:rsidRPr="692DE06C">
        <w:rPr>
          <w:lang w:val="es-CO"/>
        </w:rPr>
        <w:t>C</w:t>
      </w:r>
      <w:r w:rsidRPr="692DE06C">
        <w:rPr>
          <w:lang w:val="es-CO"/>
        </w:rPr>
        <w:t>ommission de la COI pour les Caraïbes et les régions adjacentes (IOCARIBE),</w:t>
      </w:r>
    </w:p>
    <w:p w14:paraId="6DC77275" w14:textId="77777777" w:rsidR="00EB3E2B" w:rsidRPr="00733F83" w:rsidRDefault="00EB3E2B" w:rsidP="00EB3E2B"/>
    <w:p w14:paraId="177EE05A" w14:textId="11B65900" w:rsidR="00EB3E2B" w:rsidRPr="00733F83" w:rsidRDefault="00EB3E2B" w:rsidP="00EB3E2B">
      <w:r w:rsidRPr="692DE06C">
        <w:rPr>
          <w:b/>
          <w:lang w:val="es-CO"/>
        </w:rPr>
        <w:t xml:space="preserve">Rappelant </w:t>
      </w:r>
      <w:r w:rsidRPr="692DE06C">
        <w:rPr>
          <w:lang w:val="es-CO"/>
        </w:rPr>
        <w:t xml:space="preserve">la recommandation XVI.11 de la </w:t>
      </w:r>
      <w:proofErr w:type="spellStart"/>
      <w:r w:rsidR="3B55C509" w:rsidRPr="692DE06C">
        <w:rPr>
          <w:lang w:val="es-CO"/>
        </w:rPr>
        <w:t>S</w:t>
      </w:r>
      <w:r w:rsidRPr="692DE06C">
        <w:rPr>
          <w:lang w:val="es-CO"/>
        </w:rPr>
        <w:t>ous</w:t>
      </w:r>
      <w:proofErr w:type="spellEnd"/>
      <w:r w:rsidRPr="692DE06C">
        <w:rPr>
          <w:lang w:val="es-CO"/>
        </w:rPr>
        <w:t xml:space="preserve">-Commission de </w:t>
      </w:r>
      <w:proofErr w:type="spellStart"/>
      <w:r w:rsidRPr="692DE06C">
        <w:rPr>
          <w:lang w:val="es-CO"/>
        </w:rPr>
        <w:t>l'IOCARIBE</w:t>
      </w:r>
      <w:proofErr w:type="spellEnd"/>
      <w:r w:rsidRPr="692DE06C">
        <w:rPr>
          <w:lang w:val="es-CO"/>
        </w:rPr>
        <w:t xml:space="preserve"> </w:t>
      </w:r>
      <w:proofErr w:type="spellStart"/>
      <w:r w:rsidRPr="692DE06C">
        <w:rPr>
          <w:lang w:val="es-CO"/>
        </w:rPr>
        <w:t>demandant</w:t>
      </w:r>
      <w:proofErr w:type="spellEnd"/>
      <w:r w:rsidRPr="692DE06C">
        <w:rPr>
          <w:lang w:val="es-CO"/>
        </w:rPr>
        <w:t xml:space="preserve"> au Secrétaire de l'IOCARIBE, aux États membres et aux parties prenantes de renforcer l'alphabétisation océanique dans la région de l'Amérique latine et des Caraïbes.</w:t>
      </w:r>
    </w:p>
    <w:p w14:paraId="79719B42" w14:textId="77777777" w:rsidR="00EB3E2B" w:rsidRPr="00733F83" w:rsidRDefault="00EB3E2B" w:rsidP="00EB3E2B"/>
    <w:p w14:paraId="165E2685" w14:textId="77777777" w:rsidR="00EB3E2B" w:rsidRPr="00733F83" w:rsidRDefault="00EB3E2B" w:rsidP="00EB3E2B">
      <w:r w:rsidRPr="00733F83">
        <w:rPr>
          <w:b/>
        </w:rPr>
        <w:t xml:space="preserve">Reconnaître </w:t>
      </w:r>
      <w:r w:rsidRPr="00733F83">
        <w:t>la valeur de la promotion de la gestion des océans pour sensibiliser, inspirer un comportement responsable et cultiver un sentiment de responsabilité partagée à l'égard de l'environnement marin.</w:t>
      </w:r>
    </w:p>
    <w:p w14:paraId="34F87364" w14:textId="77777777" w:rsidR="00EB3E2B" w:rsidRPr="00733F83" w:rsidRDefault="00EB3E2B" w:rsidP="00EB3E2B"/>
    <w:p w14:paraId="3A6F8A36" w14:textId="77777777" w:rsidR="00EB3E2B" w:rsidRPr="00733F83" w:rsidRDefault="00EB3E2B" w:rsidP="00EB3E2B">
      <w:r w:rsidRPr="00733F83">
        <w:rPr>
          <w:b/>
        </w:rPr>
        <w:t xml:space="preserve">Reconnaissant en outre </w:t>
      </w:r>
      <w:r w:rsidRPr="00733F83">
        <w:t>l'importance des travaux menés par l'Équipe spéciale sur l'initiation à l'océan du Groupe de travail sur le renforcement des capacités et par le Groupe d'experts de la COI sur l'initiation à l'océan.</w:t>
      </w:r>
    </w:p>
    <w:p w14:paraId="64160D03" w14:textId="77777777" w:rsidR="00EB3E2B" w:rsidRPr="00733F83" w:rsidRDefault="00EB3E2B" w:rsidP="00EB3E2B"/>
    <w:p w14:paraId="3CFE0C4C" w14:textId="3564A664" w:rsidR="00EB3E2B" w:rsidRPr="00733F83" w:rsidRDefault="00EB3E2B" w:rsidP="00EB3E2B">
      <w:pPr>
        <w:rPr>
          <w:lang w:val="es-CO"/>
        </w:rPr>
      </w:pPr>
      <w:r w:rsidRPr="692DE06C">
        <w:rPr>
          <w:b/>
          <w:lang w:val="es-CO"/>
        </w:rPr>
        <w:t xml:space="preserve">Ayant examiné les </w:t>
      </w:r>
      <w:r w:rsidRPr="692DE06C">
        <w:rPr>
          <w:lang w:val="es-CO"/>
        </w:rPr>
        <w:t xml:space="preserve">informations et l'offre de l'Aquarium de Géorgie pour soutenir la région dans l'éducation aux océans et l'expansion du </w:t>
      </w:r>
      <w:proofErr w:type="spellStart"/>
      <w:r w:rsidRPr="692DE06C">
        <w:rPr>
          <w:lang w:val="es-CO"/>
        </w:rPr>
        <w:t>réseau</w:t>
      </w:r>
      <w:proofErr w:type="spellEnd"/>
      <w:r w:rsidRPr="692DE06C">
        <w:rPr>
          <w:lang w:val="es-CO"/>
        </w:rPr>
        <w:t xml:space="preserve"> Blue </w:t>
      </w:r>
      <w:proofErr w:type="spellStart"/>
      <w:r w:rsidRPr="692DE06C">
        <w:rPr>
          <w:lang w:val="es-CO"/>
        </w:rPr>
        <w:t>Schools</w:t>
      </w:r>
      <w:proofErr w:type="spellEnd"/>
      <w:r w:rsidRPr="692DE06C">
        <w:rPr>
          <w:lang w:val="es-CO"/>
        </w:rPr>
        <w:t xml:space="preserve"> Caribe.</w:t>
      </w:r>
    </w:p>
    <w:p w14:paraId="792AA223" w14:textId="77777777" w:rsidR="00EB3E2B" w:rsidRPr="00733F83" w:rsidRDefault="00EB3E2B" w:rsidP="00EB3E2B"/>
    <w:p w14:paraId="739B1372" w14:textId="77777777" w:rsidR="00EB3E2B" w:rsidRPr="00733F83" w:rsidRDefault="00EB3E2B" w:rsidP="00EB3E2B">
      <w:r w:rsidRPr="00733F83">
        <w:rPr>
          <w:b/>
        </w:rPr>
        <w:t xml:space="preserve">Ayant également examiné </w:t>
      </w:r>
      <w:r w:rsidRPr="00733F83">
        <w:t>le rapport reçu du One Ocean Hub et ayant identifié des possibilités de renforcer les initiatives d'éducation aux océans dans la région.</w:t>
      </w:r>
    </w:p>
    <w:p w14:paraId="1F45EAA3" w14:textId="77777777" w:rsidR="00EB3E2B" w:rsidRPr="00733F83" w:rsidRDefault="00EB3E2B" w:rsidP="00EB3E2B"/>
    <w:p w14:paraId="58472A2F" w14:textId="77777777" w:rsidR="00EB3E2B" w:rsidRPr="00733F83" w:rsidRDefault="00EB3E2B" w:rsidP="00EB3E2B">
      <w:r w:rsidRPr="00733F83">
        <w:rPr>
          <w:b/>
        </w:rPr>
        <w:t xml:space="preserve">Demande au </w:t>
      </w:r>
      <w:r w:rsidRPr="00733F83">
        <w:t>Secrétaire de l'IOCARIBE de :</w:t>
      </w:r>
    </w:p>
    <w:p w14:paraId="3D2A250A" w14:textId="77777777" w:rsidR="00EB3E2B" w:rsidRPr="00733F83" w:rsidRDefault="00EB3E2B" w:rsidP="00EB3E2B">
      <w:pPr>
        <w:numPr>
          <w:ilvl w:val="0"/>
          <w:numId w:val="27"/>
        </w:numPr>
        <w:spacing w:before="200"/>
      </w:pPr>
      <w:r w:rsidRPr="00733F83">
        <w:t xml:space="preserve">Conclure un accord avec l'aquarium de Géorgie pour soutenir l'éducation aux océans et l'expansion du réseau Blue </w:t>
      </w:r>
      <w:proofErr w:type="spellStart"/>
      <w:r w:rsidRPr="00733F83">
        <w:t>Schools</w:t>
      </w:r>
      <w:proofErr w:type="spellEnd"/>
      <w:r w:rsidRPr="00733F83">
        <w:t xml:space="preserve"> Caribe dans la région.</w:t>
      </w:r>
    </w:p>
    <w:p w14:paraId="14DBD3EA" w14:textId="77777777" w:rsidR="00EB3E2B" w:rsidRPr="00733F83" w:rsidRDefault="00EB3E2B" w:rsidP="00EB3E2B">
      <w:pPr>
        <w:numPr>
          <w:ilvl w:val="0"/>
          <w:numId w:val="27"/>
        </w:numPr>
        <w:spacing w:before="200" w:after="200"/>
      </w:pPr>
      <w:r w:rsidRPr="00733F83">
        <w:t>Conclure un accord avec One Ocean Hub afin d'autonomiser les communautés côtières de la région par le biais de l'éducation aux océans.</w:t>
      </w:r>
    </w:p>
    <w:p w14:paraId="505D8555" w14:textId="77777777" w:rsidR="00EB3E2B" w:rsidRPr="00733F83" w:rsidRDefault="00EB3E2B" w:rsidP="00EB3E2B">
      <w:pPr>
        <w:numPr>
          <w:ilvl w:val="0"/>
          <w:numId w:val="27"/>
        </w:numPr>
        <w:spacing w:before="200" w:after="200"/>
      </w:pPr>
      <w:r w:rsidRPr="00733F83">
        <w:t>Tirer parti des partenariats régionaux pour piloter des programmes communs et partager les connaissances.</w:t>
      </w:r>
    </w:p>
    <w:p w14:paraId="2ED0F91A" w14:textId="77777777" w:rsidR="00EB3E2B" w:rsidRPr="00733F83" w:rsidRDefault="00EB3E2B" w:rsidP="00EB3E2B"/>
    <w:p w14:paraId="21F13184" w14:textId="77777777" w:rsidR="00EB3E2B" w:rsidRPr="00733F83" w:rsidRDefault="00EB3E2B" w:rsidP="00EB3E2B">
      <w:r w:rsidRPr="00733F83">
        <w:rPr>
          <w:b/>
        </w:rPr>
        <w:t xml:space="preserve">Exhorte les </w:t>
      </w:r>
      <w:r w:rsidRPr="00733F83">
        <w:t>États membres à :</w:t>
      </w:r>
    </w:p>
    <w:p w14:paraId="3D054AFA" w14:textId="2465F470" w:rsidR="00EB3E2B" w:rsidRPr="00733F83" w:rsidRDefault="00EB3E2B" w:rsidP="00EB3E2B">
      <w:pPr>
        <w:numPr>
          <w:ilvl w:val="0"/>
          <w:numId w:val="29"/>
        </w:numPr>
        <w:spacing w:before="200" w:after="200"/>
        <w:rPr>
          <w:lang w:val="es-CO"/>
        </w:rPr>
      </w:pPr>
      <w:r w:rsidRPr="692DE06C">
        <w:rPr>
          <w:lang w:val="es-CO"/>
        </w:rPr>
        <w:t>Nommer des points focaux nationaux au sein de l'équipe spéciale pour l'éducation aux océans afin de guider les programmes nationaux sur l'éducation aux océans.</w:t>
      </w:r>
    </w:p>
    <w:p w14:paraId="0F1A313D" w14:textId="77777777" w:rsidR="00EB3E2B" w:rsidRPr="00733F83" w:rsidRDefault="00EB3E2B" w:rsidP="00EB3E2B">
      <w:pPr>
        <w:numPr>
          <w:ilvl w:val="0"/>
          <w:numId w:val="29"/>
        </w:numPr>
        <w:spacing w:before="200" w:after="200"/>
      </w:pPr>
      <w:r w:rsidRPr="00733F83">
        <w:t>Nommer des coordinateurs officiels pour diriger les programmes nationaux d'écoles bleues.</w:t>
      </w:r>
    </w:p>
    <w:p w14:paraId="7ADFB185" w14:textId="77777777" w:rsidR="00EB3E2B" w:rsidRPr="00733F83" w:rsidRDefault="00EB3E2B" w:rsidP="00EB3E2B">
      <w:r w:rsidRPr="00733F83">
        <w:rPr>
          <w:b/>
        </w:rPr>
        <w:t xml:space="preserve">Invite </w:t>
      </w:r>
      <w:r w:rsidRPr="00733F83">
        <w:t>les États membres à :</w:t>
      </w:r>
    </w:p>
    <w:p w14:paraId="72AA3CA4" w14:textId="77777777" w:rsidR="00EB3E2B" w:rsidRPr="00733F83" w:rsidRDefault="00EB3E2B" w:rsidP="00EB3E2B">
      <w:pPr>
        <w:numPr>
          <w:ilvl w:val="0"/>
          <w:numId w:val="25"/>
        </w:numPr>
        <w:spacing w:before="200" w:after="200"/>
      </w:pPr>
      <w:r w:rsidRPr="00733F83">
        <w:t>Intégrer la connaissance des océans dans les cadres politiques et les programmes d'enseignement.</w:t>
      </w:r>
    </w:p>
    <w:p w14:paraId="07E54D34" w14:textId="77777777" w:rsidR="00EB3E2B" w:rsidRPr="00733F83" w:rsidRDefault="00EB3E2B" w:rsidP="00EB3E2B">
      <w:pPr>
        <w:numPr>
          <w:ilvl w:val="0"/>
          <w:numId w:val="25"/>
        </w:numPr>
        <w:spacing w:before="200" w:after="200"/>
      </w:pPr>
      <w:r w:rsidRPr="00733F83">
        <w:t>Promouvoir la collaboration interministérielle, en particulier avec les ministères de l'environnement, de l'éducation et de la science, de la technologie et de l'innovation.</w:t>
      </w:r>
    </w:p>
    <w:p w14:paraId="02CF6D7B" w14:textId="77777777" w:rsidR="00EB3E2B" w:rsidRPr="00733F83" w:rsidRDefault="00EB3E2B" w:rsidP="00EB3E2B">
      <w:pPr>
        <w:numPr>
          <w:ilvl w:val="0"/>
          <w:numId w:val="25"/>
        </w:numPr>
        <w:spacing w:before="200" w:after="200"/>
      </w:pPr>
      <w:r w:rsidRPr="00733F83">
        <w:lastRenderedPageBreak/>
        <w:t>Financer les programmes nationaux de maîtrise des océans au moyen de budgets de base et de l'alignement des donateurs.</w:t>
      </w:r>
    </w:p>
    <w:p w14:paraId="6AA7B3E4" w14:textId="77777777" w:rsidR="00EB3E2B" w:rsidRPr="00733F83" w:rsidRDefault="00EB3E2B" w:rsidP="00EB3E2B">
      <w:pPr>
        <w:numPr>
          <w:ilvl w:val="0"/>
          <w:numId w:val="25"/>
        </w:numPr>
        <w:spacing w:before="200" w:after="200"/>
      </w:pPr>
      <w:r w:rsidRPr="00733F83">
        <w:t>Soutenir la poursuite des travaux de l'équipe spéciale sur l'éducation aux océans et du groupe d'experts de la COI sur l'éducation aux océans.</w:t>
      </w:r>
    </w:p>
    <w:p w14:paraId="3EAD121D" w14:textId="77777777" w:rsidR="00EB3E2B" w:rsidRPr="00733F83" w:rsidRDefault="00EB3E2B" w:rsidP="00EB3E2B">
      <w:pPr>
        <w:jc w:val="center"/>
      </w:pPr>
    </w:p>
    <w:p w14:paraId="109CBCAD" w14:textId="77777777" w:rsidR="00EB3E2B" w:rsidRPr="00733F83" w:rsidRDefault="00EB3E2B" w:rsidP="00EB3E2B">
      <w:pPr>
        <w:jc w:val="center"/>
      </w:pPr>
    </w:p>
    <w:p w14:paraId="67FF0007" w14:textId="77777777" w:rsidR="00EB3E2B" w:rsidRPr="00733F83" w:rsidRDefault="00EB3E2B" w:rsidP="00EB3E2B">
      <w:pPr>
        <w:jc w:val="center"/>
        <w:rPr>
          <w:u w:val="single"/>
        </w:rPr>
      </w:pPr>
    </w:p>
    <w:p w14:paraId="3CB0FBD0" w14:textId="77777777" w:rsidR="00EB3E2B" w:rsidRPr="00733F83" w:rsidRDefault="00EB3E2B" w:rsidP="00EB3E2B">
      <w:pPr>
        <w:jc w:val="center"/>
        <w:rPr>
          <w:u w:val="single"/>
        </w:rPr>
      </w:pPr>
    </w:p>
    <w:p w14:paraId="6CB92A49" w14:textId="77777777" w:rsidR="00EB3E2B" w:rsidRPr="00733F83" w:rsidRDefault="00EB3E2B" w:rsidP="00EB3E2B">
      <w:pPr>
        <w:jc w:val="center"/>
        <w:rPr>
          <w:u w:val="single"/>
        </w:rPr>
      </w:pPr>
      <w:bookmarkStart w:id="6" w:name="Recommendation_3"/>
      <w:bookmarkEnd w:id="6"/>
      <w:r w:rsidRPr="00733F83">
        <w:rPr>
          <w:u w:val="single"/>
        </w:rPr>
        <w:t>Recommandation SC-IOCARIBE-XVIII.3</w:t>
      </w:r>
    </w:p>
    <w:p w14:paraId="1698168D" w14:textId="77777777" w:rsidR="00EB3E2B" w:rsidRPr="00733F83" w:rsidRDefault="00EB3E2B" w:rsidP="00EB3E2B"/>
    <w:p w14:paraId="63A5E594" w14:textId="77777777" w:rsidR="00EB3E2B" w:rsidRPr="00733F83" w:rsidRDefault="00EB3E2B" w:rsidP="00EB3E2B">
      <w:pPr>
        <w:jc w:val="center"/>
      </w:pPr>
      <w:r w:rsidRPr="00733F83">
        <w:rPr>
          <w:b/>
        </w:rPr>
        <w:t>Développement des capacités</w:t>
      </w:r>
    </w:p>
    <w:p w14:paraId="6E654E1B" w14:textId="77777777" w:rsidR="00EB3E2B" w:rsidRPr="00733F83" w:rsidRDefault="00EB3E2B" w:rsidP="00EB3E2B"/>
    <w:p w14:paraId="3F725EDD" w14:textId="3F4BEC36" w:rsidR="00EB3E2B" w:rsidRPr="00733F83" w:rsidRDefault="00EB3E2B" w:rsidP="00EB3E2B">
      <w:r w:rsidRPr="00733F83">
        <w:t xml:space="preserve">La </w:t>
      </w:r>
      <w:r w:rsidR="75206D06" w:rsidRPr="00733F83">
        <w:t>S</w:t>
      </w:r>
      <w:r w:rsidRPr="00733F83">
        <w:t>ous-</w:t>
      </w:r>
      <w:r w:rsidR="7A58877F" w:rsidRPr="00733F83">
        <w:t>C</w:t>
      </w:r>
      <w:r w:rsidRPr="00733F83">
        <w:t>ommission de la COI pour les Caraïbes et les régions adjacentes (IOCARIBE),</w:t>
      </w:r>
    </w:p>
    <w:p w14:paraId="21AE2445" w14:textId="77777777" w:rsidR="00EB3E2B" w:rsidRPr="00733F83" w:rsidRDefault="00EB3E2B" w:rsidP="00EB3E2B"/>
    <w:p w14:paraId="30B238B2" w14:textId="77777777" w:rsidR="00EB3E2B" w:rsidRPr="00733F83" w:rsidRDefault="00EB3E2B" w:rsidP="00EB3E2B">
      <w:r w:rsidRPr="00733F83">
        <w:rPr>
          <w:b/>
        </w:rPr>
        <w:t xml:space="preserve">Reconnaissant </w:t>
      </w:r>
      <w:r w:rsidRPr="00733F83">
        <w:t>le travail effectué par le groupe de travail sur le développement des capacités régionales (CD) au cours de la période biennale précédente.</w:t>
      </w:r>
    </w:p>
    <w:p w14:paraId="4035BF09" w14:textId="77777777" w:rsidR="00EB3E2B" w:rsidRPr="00733F83" w:rsidRDefault="00EB3E2B" w:rsidP="00EB3E2B"/>
    <w:p w14:paraId="68EE82DA" w14:textId="77777777" w:rsidR="00EB3E2B" w:rsidRPr="00733F83" w:rsidRDefault="00EB3E2B" w:rsidP="00EB3E2B">
      <w:r w:rsidRPr="00733F83">
        <w:rPr>
          <w:b/>
        </w:rPr>
        <w:t xml:space="preserve">Reconnaissant en outre </w:t>
      </w:r>
      <w:r w:rsidRPr="00733F83">
        <w:t>les différences entre les définitions, les centres d'intérêt et les intérêts des "jeunes" et des "professionnels de la mer en début de carrière", ainsi que les efforts déployés par la Sous-Commission pour s'engager auprès des professionnels de la mer en début de carrière.</w:t>
      </w:r>
    </w:p>
    <w:p w14:paraId="211EC315" w14:textId="77777777" w:rsidR="00EB3E2B" w:rsidRPr="00733F83" w:rsidRDefault="00EB3E2B" w:rsidP="00EB3E2B"/>
    <w:p w14:paraId="342EC6F5" w14:textId="77777777" w:rsidR="00EB3E2B" w:rsidRPr="00733F83" w:rsidRDefault="00EB3E2B" w:rsidP="00EB3E2B">
      <w:r w:rsidRPr="00733F83">
        <w:rPr>
          <w:b/>
        </w:rPr>
        <w:t xml:space="preserve">Tenir compte des </w:t>
      </w:r>
      <w:r w:rsidRPr="00733F83">
        <w:t>lacunes en matière de formation identifiées dans le plan de mise en œuvre de la stratégie globale de développement des capacités de la COI (2023-2030), récemment élaboré.</w:t>
      </w:r>
    </w:p>
    <w:p w14:paraId="0193860A" w14:textId="77777777" w:rsidR="00EB3E2B" w:rsidRPr="00733F83" w:rsidRDefault="00EB3E2B" w:rsidP="00EB3E2B"/>
    <w:p w14:paraId="1389E9BA" w14:textId="77777777" w:rsidR="00EB3E2B" w:rsidRPr="00733F83" w:rsidRDefault="00EB3E2B" w:rsidP="00EB3E2B">
      <w:r w:rsidRPr="00733F83">
        <w:rPr>
          <w:b/>
        </w:rPr>
        <w:t xml:space="preserve">Reconnaissant </w:t>
      </w:r>
      <w:r w:rsidRPr="00733F83">
        <w:t>l'expertise technique considérable des petits États insulaires en développement (PEID), malgré les défis persistants liés aux ressources financières limitées et à l'accès à l'équipement.</w:t>
      </w:r>
    </w:p>
    <w:p w14:paraId="2CD851F9" w14:textId="77777777" w:rsidR="00EB3E2B" w:rsidRPr="00733F83" w:rsidRDefault="00EB3E2B" w:rsidP="00EB3E2B"/>
    <w:p w14:paraId="01CD94CA" w14:textId="77777777" w:rsidR="00EB3E2B" w:rsidRPr="00733F83" w:rsidRDefault="00EB3E2B" w:rsidP="00EB3E2B">
      <w:r w:rsidRPr="00733F83">
        <w:rPr>
          <w:b/>
        </w:rPr>
        <w:t xml:space="preserve">Demande au </w:t>
      </w:r>
      <w:r w:rsidRPr="00733F83">
        <w:t>Secrétaire de l'IOCARIBE de :</w:t>
      </w:r>
    </w:p>
    <w:p w14:paraId="46D1C49D" w14:textId="77777777" w:rsidR="00EB3E2B" w:rsidRPr="00733F83" w:rsidRDefault="00EB3E2B" w:rsidP="00EB3E2B">
      <w:pPr>
        <w:numPr>
          <w:ilvl w:val="0"/>
          <w:numId w:val="16"/>
        </w:numPr>
        <w:spacing w:before="200" w:after="200"/>
      </w:pPr>
      <w:r w:rsidRPr="00733F83">
        <w:t>S'engager avec le Fonds de développement des capacités de la Décennie des Nations unies pour l'océan afin d'identifier des approches innovantes pour mobiliser des fonds pour le développement des capacités sur les questions prioritaires dans la région, à la fois en mer et dans les laboratoires, et aider à financer partiellement le projet n° 136.2 de la Décennie pour l'océan : Renforcer le développement des capacités dans la région du TAC.</w:t>
      </w:r>
    </w:p>
    <w:p w14:paraId="78709835" w14:textId="77777777" w:rsidR="00EB3E2B" w:rsidRPr="00733F83" w:rsidRDefault="00EB3E2B" w:rsidP="00EB3E2B">
      <w:pPr>
        <w:numPr>
          <w:ilvl w:val="0"/>
          <w:numId w:val="16"/>
        </w:numPr>
        <w:spacing w:before="200" w:after="200"/>
      </w:pPr>
      <w:r w:rsidRPr="00733F83">
        <w:t>Contribuer à l'élaboration et à la mise en œuvre conjointes de la prochaine édition de l'enquête biennale de la COI sur le renforcement des capacités, en étroite coordination avec le secrétariat de la COI sur le renforcement des capacités et le groupe d'experts sur le renforcement des capacités (GE-CD).</w:t>
      </w:r>
    </w:p>
    <w:p w14:paraId="128C2843" w14:textId="77777777" w:rsidR="00EB3E2B" w:rsidRPr="00733F83" w:rsidRDefault="00EB3E2B" w:rsidP="00EB3E2B">
      <w:pPr>
        <w:numPr>
          <w:ilvl w:val="0"/>
          <w:numId w:val="16"/>
        </w:numPr>
        <w:spacing w:before="200" w:after="200"/>
      </w:pPr>
      <w:r w:rsidRPr="00733F83">
        <w:t>Mettre en place une équipe de travail sur l'aménagement de l'espace marin pour soutenir les activités de développement des capacités telles que celles soutenues par le projet PROCARIBE+ du PNUD/FEM/UNOPS, et pour étendre l'aménagement de l'espace marin à d'autres États membres de l'IOCARIBE.</w:t>
      </w:r>
    </w:p>
    <w:p w14:paraId="25F14152" w14:textId="77777777" w:rsidR="00EB3E2B" w:rsidRPr="00733F83" w:rsidRDefault="00EB3E2B" w:rsidP="00EB3E2B">
      <w:pPr>
        <w:numPr>
          <w:ilvl w:val="0"/>
          <w:numId w:val="16"/>
        </w:numPr>
        <w:spacing w:before="200" w:after="200"/>
      </w:pPr>
      <w:r w:rsidRPr="00733F83">
        <w:t xml:space="preserve">Créer une équipe spéciale sur la recherche en eaux profondes pour former une nouvelle génération de responsables scientifiques et de chercheurs à bord des navires de recherche régionaux et, dans la mesure du possible, aider les États membres à produire des connaissances scientifiques pertinentes conformément à l'"Accord au titre de la Convention des Nations unies sur le droit de la mer relatif à la conservation et à l'exploitation durable de la biodiversité marine dans les zones </w:t>
      </w:r>
      <w:r w:rsidRPr="00733F83">
        <w:lastRenderedPageBreak/>
        <w:t>situées au-delà des limites de la juridiction nationale", connu sous le nom d'Accord BBNJ, et avec le développement des capacités, la formation et l'assistance technique de l'Autorité internationale des fonds marins (AIFM).</w:t>
      </w:r>
    </w:p>
    <w:p w14:paraId="3363BC5C" w14:textId="77777777" w:rsidR="00EB3E2B" w:rsidRPr="00733F83" w:rsidRDefault="00EB3E2B" w:rsidP="00EB3E2B">
      <w:pPr>
        <w:numPr>
          <w:ilvl w:val="0"/>
          <w:numId w:val="16"/>
        </w:numPr>
        <w:spacing w:before="200" w:after="200"/>
      </w:pPr>
      <w:r w:rsidRPr="00733F83">
        <w:t>Continuer à chercher des occasions de s'engager avec les jeunes et les ECOP.</w:t>
      </w:r>
    </w:p>
    <w:p w14:paraId="143DD989" w14:textId="77777777" w:rsidR="00EB3E2B" w:rsidRPr="00733F83" w:rsidRDefault="00EB3E2B" w:rsidP="00EB3E2B">
      <w:pPr>
        <w:numPr>
          <w:ilvl w:val="0"/>
          <w:numId w:val="16"/>
        </w:numPr>
        <w:spacing w:before="200" w:after="200"/>
      </w:pPr>
      <w:r w:rsidRPr="00733F83">
        <w:t xml:space="preserve">Rechercher des possibilités de coopération technique, par exemple avec les réseaux mondiaux et régionaux d'observation des grands fonds marins (Laboratoire de la décennie de l'océan (ODL), Deep-Ocean </w:t>
      </w:r>
      <w:proofErr w:type="spellStart"/>
      <w:r w:rsidRPr="00733F83">
        <w:t>Stewardship</w:t>
      </w:r>
      <w:proofErr w:type="spellEnd"/>
      <w:r w:rsidRPr="00733F83">
        <w:t xml:space="preserve"> Initiative (DOSI), Deep Ocean </w:t>
      </w:r>
      <w:proofErr w:type="spellStart"/>
      <w:r w:rsidRPr="00733F83">
        <w:t>Observing</w:t>
      </w:r>
      <w:proofErr w:type="spellEnd"/>
      <w:r w:rsidRPr="00733F83">
        <w:t xml:space="preserve"> </w:t>
      </w:r>
      <w:proofErr w:type="spellStart"/>
      <w:r w:rsidRPr="00733F83">
        <w:t>Strategy</w:t>
      </w:r>
      <w:proofErr w:type="spellEnd"/>
      <w:r w:rsidRPr="00733F83">
        <w:t xml:space="preserve"> (DOOS), Partnership for Observation of the Global Ocean (POGO), Scientific </w:t>
      </w:r>
      <w:proofErr w:type="spellStart"/>
      <w:r w:rsidRPr="00733F83">
        <w:t>Committee</w:t>
      </w:r>
      <w:proofErr w:type="spellEnd"/>
      <w:r w:rsidRPr="00733F83">
        <w:t xml:space="preserve"> on </w:t>
      </w:r>
      <w:proofErr w:type="spellStart"/>
      <w:r w:rsidRPr="00733F83">
        <w:t>Oceanic</w:t>
      </w:r>
      <w:proofErr w:type="spellEnd"/>
      <w:r w:rsidRPr="00733F83">
        <w:t xml:space="preserve"> </w:t>
      </w:r>
      <w:proofErr w:type="spellStart"/>
      <w:r w:rsidRPr="00733F83">
        <w:t>Research</w:t>
      </w:r>
      <w:proofErr w:type="spellEnd"/>
      <w:r w:rsidRPr="00733F83">
        <w:t xml:space="preserve"> (SCOR), High </w:t>
      </w:r>
      <w:proofErr w:type="spellStart"/>
      <w:r w:rsidRPr="00733F83">
        <w:t>Seas</w:t>
      </w:r>
      <w:proofErr w:type="spellEnd"/>
      <w:r w:rsidRPr="00733F83">
        <w:t xml:space="preserve"> Alliance (HSA)), qui peuvent fournir aux États membres du matériel d'observation des océans et des formations connexes.</w:t>
      </w:r>
    </w:p>
    <w:p w14:paraId="23CF1485" w14:textId="77777777" w:rsidR="00EB3E2B" w:rsidRPr="00733F83" w:rsidRDefault="00EB3E2B" w:rsidP="00EB3E2B">
      <w:pPr>
        <w:numPr>
          <w:ilvl w:val="0"/>
          <w:numId w:val="16"/>
        </w:numPr>
        <w:spacing w:before="200" w:after="200"/>
      </w:pPr>
      <w:r w:rsidRPr="00733F83">
        <w:t xml:space="preserve">Aider à trouver des fonds de démarrage auprès d'organisations philanthropiques pour maintenir les navires de recherche dotés de capacités en haute mer qui sont actifs dans la région et utiles au développement des </w:t>
      </w:r>
      <w:proofErr w:type="gramStart"/>
      <w:r w:rsidRPr="00733F83">
        <w:t>capacités .</w:t>
      </w:r>
      <w:proofErr w:type="gramEnd"/>
    </w:p>
    <w:p w14:paraId="5A52EB30" w14:textId="603A0B63" w:rsidR="00EB3E2B" w:rsidRPr="006A1A38" w:rsidRDefault="00EB3E2B" w:rsidP="00EB3E2B">
      <w:pPr>
        <w:numPr>
          <w:ilvl w:val="0"/>
          <w:numId w:val="16"/>
        </w:numPr>
        <w:spacing w:before="200" w:after="200"/>
        <w:rPr>
          <w:color w:val="000000"/>
        </w:rPr>
      </w:pPr>
      <w:r w:rsidRPr="006A1A38">
        <w:t>Faciliter l'accès des chercheurs aux navires de recherche régionaux existants et aux programmes de formation continue en mer, et améliorer l'accès des chercheurs aux véhicules, aux capteurs et aux outils de données des grands fonds.</w:t>
      </w:r>
    </w:p>
    <w:p w14:paraId="3A15651B" w14:textId="77777777" w:rsidR="00EB3E2B" w:rsidRPr="00733F83" w:rsidRDefault="00EB3E2B" w:rsidP="00EB3E2B"/>
    <w:p w14:paraId="61D4A063" w14:textId="77777777" w:rsidR="00EB3E2B" w:rsidRPr="00733F83" w:rsidRDefault="00EB3E2B" w:rsidP="00EB3E2B">
      <w:r w:rsidRPr="00733F83">
        <w:rPr>
          <w:b/>
        </w:rPr>
        <w:t xml:space="preserve">Invite </w:t>
      </w:r>
      <w:r w:rsidRPr="00733F83">
        <w:t>les États membres à :</w:t>
      </w:r>
    </w:p>
    <w:p w14:paraId="3519DF2A" w14:textId="77777777" w:rsidR="00EB3E2B" w:rsidRPr="00733F83" w:rsidRDefault="00EB3E2B" w:rsidP="00EB3E2B">
      <w:pPr>
        <w:numPr>
          <w:ilvl w:val="0"/>
          <w:numId w:val="19"/>
        </w:numPr>
        <w:spacing w:before="200" w:after="200"/>
      </w:pPr>
      <w:r w:rsidRPr="00733F83">
        <w:t>Nommer des points focaux nationaux au sein du groupe de travail sur le développement des capacités.</w:t>
      </w:r>
    </w:p>
    <w:p w14:paraId="3C9328FF" w14:textId="77777777" w:rsidR="00EB3E2B" w:rsidRPr="00733F83" w:rsidRDefault="00EB3E2B" w:rsidP="00EB3E2B">
      <w:pPr>
        <w:numPr>
          <w:ilvl w:val="0"/>
          <w:numId w:val="19"/>
        </w:numPr>
        <w:spacing w:before="200" w:after="200"/>
      </w:pPr>
      <w:r w:rsidRPr="00733F83">
        <w:t>Encourager la participation des ECOP à des stages pour soutenir les activités de l'IOCARIBE.</w:t>
      </w:r>
    </w:p>
    <w:p w14:paraId="74989733" w14:textId="77777777" w:rsidR="00EB3E2B" w:rsidRPr="00733F83" w:rsidRDefault="00EB3E2B" w:rsidP="00EB3E2B"/>
    <w:p w14:paraId="1CED7431" w14:textId="77777777" w:rsidR="00EB3E2B" w:rsidRPr="00733F83" w:rsidRDefault="00EB3E2B" w:rsidP="00EB3E2B"/>
    <w:p w14:paraId="5C8F4E98" w14:textId="77777777" w:rsidR="00EB3E2B" w:rsidRPr="00733F83" w:rsidRDefault="00EB3E2B" w:rsidP="00EB3E2B">
      <w:pPr>
        <w:jc w:val="center"/>
        <w:rPr>
          <w:u w:val="single"/>
        </w:rPr>
      </w:pPr>
      <w:bookmarkStart w:id="7" w:name="Recommendation_4"/>
      <w:bookmarkEnd w:id="7"/>
      <w:r w:rsidRPr="00733F83">
        <w:rPr>
          <w:u w:val="single"/>
        </w:rPr>
        <w:t>Recommandation SC-IOCARIBE-XVIII.4</w:t>
      </w:r>
    </w:p>
    <w:p w14:paraId="00C71269" w14:textId="77777777" w:rsidR="00EB3E2B" w:rsidRPr="00733F83" w:rsidRDefault="00EB3E2B" w:rsidP="00EB3E2B"/>
    <w:p w14:paraId="7019FCEA" w14:textId="77777777" w:rsidR="00EB3E2B" w:rsidRPr="00733F83" w:rsidRDefault="00EB3E2B" w:rsidP="00EB3E2B">
      <w:pPr>
        <w:jc w:val="center"/>
        <w:rPr>
          <w:b/>
        </w:rPr>
      </w:pPr>
      <w:r w:rsidRPr="00733F83">
        <w:rPr>
          <w:b/>
        </w:rPr>
        <w:t>IOCARIBE GOOS</w:t>
      </w:r>
    </w:p>
    <w:p w14:paraId="300894BF" w14:textId="5E52F5F6" w:rsidR="00EB3E2B" w:rsidRPr="00733F83" w:rsidRDefault="00EB3E2B" w:rsidP="00EB3E2B">
      <w:pPr>
        <w:spacing w:before="240" w:after="240"/>
      </w:pPr>
      <w:r w:rsidRPr="00733F83">
        <w:t xml:space="preserve">La </w:t>
      </w:r>
      <w:r w:rsidR="364235E4" w:rsidRPr="00733F83">
        <w:t>S</w:t>
      </w:r>
      <w:r w:rsidRPr="00733F83">
        <w:t>ous-</w:t>
      </w:r>
      <w:r w:rsidR="6D61D474" w:rsidRPr="00733F83">
        <w:t>C</w:t>
      </w:r>
      <w:r w:rsidRPr="00733F83">
        <w:t>ommission de la COI pour les Caraïbes et les régions adjacentes (IOCARIBE),</w:t>
      </w:r>
    </w:p>
    <w:p w14:paraId="543F2C71" w14:textId="77777777" w:rsidR="00EB3E2B" w:rsidRPr="00733F83" w:rsidRDefault="00EB3E2B" w:rsidP="00EB3E2B">
      <w:pPr>
        <w:spacing w:before="240" w:after="240"/>
      </w:pPr>
      <w:r w:rsidRPr="00733F83">
        <w:rPr>
          <w:b/>
        </w:rPr>
        <w:t xml:space="preserve">Rappelant </w:t>
      </w:r>
      <w:r w:rsidRPr="00733F83">
        <w:t>son engagement à faire progresser les objectifs du Système mondial d'observation de l'océan (GOOS), de la Décennie des Nations unies pour l'océan et de l'initiative "Des alertes précoces pour tous" (EW4ALL).</w:t>
      </w:r>
    </w:p>
    <w:p w14:paraId="1698C8B7" w14:textId="77777777" w:rsidR="00EB3E2B" w:rsidRPr="00733F83" w:rsidRDefault="00EB3E2B" w:rsidP="00EB3E2B">
      <w:pPr>
        <w:spacing w:before="240" w:after="240"/>
        <w:jc w:val="both"/>
        <w:rPr>
          <w:b/>
        </w:rPr>
      </w:pPr>
      <w:r w:rsidRPr="00733F83">
        <w:rPr>
          <w:b/>
        </w:rPr>
        <w:t>Rappel supplémentaire</w:t>
      </w:r>
    </w:p>
    <w:p w14:paraId="7E58C9E7" w14:textId="77777777" w:rsidR="00EB3E2B" w:rsidRPr="00733F83" w:rsidRDefault="00EB3E2B" w:rsidP="00EB3E2B">
      <w:pPr>
        <w:numPr>
          <w:ilvl w:val="0"/>
          <w:numId w:val="13"/>
        </w:numPr>
        <w:spacing w:before="240" w:after="200"/>
        <w:ind w:left="720"/>
        <w:jc w:val="both"/>
      </w:pPr>
      <w:r w:rsidRPr="00733F83">
        <w:t>La décision A-32/4.8.2 (2023) de l'Assemblée de la COI, relative aux observations océaniques dans les zones relevant de la juridiction nationale, et la décision de créer un groupe de travail intersessions ad hoc sur les observations océaniques dans les zones relevant de la juridiction nationale.</w:t>
      </w:r>
    </w:p>
    <w:p w14:paraId="2F469051" w14:textId="77777777" w:rsidR="00EB3E2B" w:rsidRPr="00733F83" w:rsidRDefault="00EB3E2B" w:rsidP="00EB3E2B">
      <w:pPr>
        <w:numPr>
          <w:ilvl w:val="0"/>
          <w:numId w:val="13"/>
        </w:numPr>
        <w:spacing w:after="200"/>
        <w:ind w:left="720"/>
        <w:jc w:val="both"/>
      </w:pPr>
      <w:r w:rsidRPr="00733F83">
        <w:t>La décision EC-57/4.2 (2024) du Conseil exécutif de la COI relative au rapport d'activité du Groupe de travail intersessions ad hoc de la COI sur l'observation de l'océan dans les zones placées sous juridiction nationale.</w:t>
      </w:r>
    </w:p>
    <w:p w14:paraId="411B2E65" w14:textId="77777777" w:rsidR="00EB3E2B" w:rsidRPr="00733F83" w:rsidRDefault="00EB3E2B" w:rsidP="00EB3E2B">
      <w:pPr>
        <w:numPr>
          <w:ilvl w:val="0"/>
          <w:numId w:val="13"/>
        </w:numPr>
        <w:spacing w:after="200"/>
        <w:ind w:left="720"/>
        <w:jc w:val="both"/>
      </w:pPr>
      <w:r w:rsidRPr="00733F83">
        <w:t xml:space="preserve">Recommandation SC-IOCARIBE-XVII.6 (2023) de l'IOCARIBE visant à renforcer les relations des États membres de l'IOCARIBE avec les programmes, projets et initiatives internationaux afin de favoriser la collaboration entre les groupes, de réduire les doublons et d'encourager les efforts de collaboration et la production de connaissances, d'applications, de services, d'outils et de produits ; et d'aligner toutes </w:t>
      </w:r>
      <w:r w:rsidRPr="00733F83">
        <w:lastRenderedPageBreak/>
        <w:t>les menaces sur lesquelles l'IOCARIBE travaille dans un cadre multirisque, en utilisant le projet d'intégration des systèmes d'alerte précoce aux risques côtiers pour les Amériques tropicales et les Caraïbes (</w:t>
      </w:r>
      <w:proofErr w:type="spellStart"/>
      <w:r w:rsidRPr="00733F83">
        <w:t>iCHEWS</w:t>
      </w:r>
      <w:proofErr w:type="spellEnd"/>
      <w:r w:rsidRPr="00733F83">
        <w:t>) approuvé par la Décennie des Nations Unies sur les océans.</w:t>
      </w:r>
    </w:p>
    <w:p w14:paraId="4ACFB0A8" w14:textId="77777777" w:rsidR="00EB3E2B" w:rsidRPr="00733F83" w:rsidRDefault="00EB3E2B" w:rsidP="00EB3E2B">
      <w:pPr>
        <w:numPr>
          <w:ilvl w:val="0"/>
          <w:numId w:val="13"/>
        </w:numPr>
        <w:spacing w:before="240" w:after="200"/>
        <w:ind w:left="720"/>
        <w:jc w:val="both"/>
      </w:pPr>
      <w:r w:rsidRPr="00733F83">
        <w:t>Recommandation de l'IOCARIBE SC-IOCARIBE-XVII.10 (2023) relative au GOOS de l'IOCARIBE.</w:t>
      </w:r>
    </w:p>
    <w:p w14:paraId="1CB90050" w14:textId="77777777" w:rsidR="00EB3E2B" w:rsidRPr="00733F83" w:rsidRDefault="00EB3E2B" w:rsidP="00EB3E2B">
      <w:pPr>
        <w:spacing w:before="240" w:after="240"/>
      </w:pPr>
      <w:r w:rsidRPr="00733F83">
        <w:rPr>
          <w:b/>
        </w:rPr>
        <w:t xml:space="preserve">Reconnaissant la </w:t>
      </w:r>
      <w:r w:rsidRPr="00733F83">
        <w:t>nécessité d'améliorer la coordination régionale, l'engagement des parties prenantes et le soutien opérationnel pour renforcer les capacités d'observation et de prévision de l'océan dans la région de l'IOCARIBE.</w:t>
      </w:r>
    </w:p>
    <w:p w14:paraId="004DCA65" w14:textId="77777777" w:rsidR="00EB3E2B" w:rsidRPr="00733F83" w:rsidRDefault="00EB3E2B" w:rsidP="00EB3E2B">
      <w:pPr>
        <w:spacing w:before="240" w:after="240"/>
      </w:pPr>
      <w:r w:rsidRPr="00733F83">
        <w:rPr>
          <w:b/>
        </w:rPr>
        <w:t xml:space="preserve">Notant </w:t>
      </w:r>
      <w:r w:rsidRPr="00733F83">
        <w:t>les recommandations et les résultats de la 16ème session du Groupe de coordination des observations du GOOS (OCG) du 7 au 10 avril 2025 et de l'atelier IOCARIBE-GOOS associé qui s'est tenu le 9 avril 2025.</w:t>
      </w:r>
    </w:p>
    <w:p w14:paraId="435A2330" w14:textId="77777777" w:rsidR="00EB3E2B" w:rsidRPr="00733F83" w:rsidRDefault="00EB3E2B" w:rsidP="00EB3E2B">
      <w:pPr>
        <w:spacing w:before="240" w:after="240"/>
      </w:pPr>
      <w:r w:rsidRPr="00733F83">
        <w:rPr>
          <w:b/>
        </w:rPr>
        <w:t xml:space="preserve">Notant en outre </w:t>
      </w:r>
      <w:r w:rsidRPr="00733F83">
        <w:t xml:space="preserve">l'initiative régionale </w:t>
      </w:r>
      <w:proofErr w:type="spellStart"/>
      <w:r w:rsidRPr="00733F83">
        <w:t>GlobalCoast</w:t>
      </w:r>
      <w:proofErr w:type="spellEnd"/>
      <w:r w:rsidRPr="00733F83">
        <w:t xml:space="preserve"> / </w:t>
      </w:r>
      <w:proofErr w:type="spellStart"/>
      <w:r w:rsidRPr="00733F83">
        <w:t>CoastPredict</w:t>
      </w:r>
      <w:proofErr w:type="spellEnd"/>
      <w:r w:rsidRPr="00733F83">
        <w:t xml:space="preserve"> du programme de la Décennie des Nations Unies, qui s'attaque aux défis du changement climatique et de la résilience côtière et cherche à améliorer la préparation régionale aux </w:t>
      </w:r>
      <w:proofErr w:type="gramStart"/>
      <w:r w:rsidRPr="00733F83">
        <w:t>catastrophes ,</w:t>
      </w:r>
      <w:proofErr w:type="gramEnd"/>
      <w:r w:rsidRPr="00733F83">
        <w:t xml:space="preserve"> à favoriser la restauration des écosystèmes et à soutenir le développement durable dans la région de l'IOCARIBE.</w:t>
      </w:r>
    </w:p>
    <w:p w14:paraId="7404BF81" w14:textId="77777777" w:rsidR="00EB3E2B" w:rsidRPr="00733F83" w:rsidRDefault="00EB3E2B" w:rsidP="00EB3E2B">
      <w:pPr>
        <w:spacing w:before="240" w:after="240"/>
      </w:pPr>
      <w:r w:rsidRPr="00733F83">
        <w:rPr>
          <w:b/>
        </w:rPr>
        <w:t>Reconnaissant en outre l'</w:t>
      </w:r>
      <w:r w:rsidRPr="00733F83">
        <w:t xml:space="preserve">importance des initiatives </w:t>
      </w:r>
      <w:proofErr w:type="spellStart"/>
      <w:r w:rsidRPr="00733F83">
        <w:t>GlobalCoast</w:t>
      </w:r>
      <w:proofErr w:type="spellEnd"/>
      <w:r w:rsidRPr="00733F83">
        <w:t xml:space="preserve"> / </w:t>
      </w:r>
      <w:proofErr w:type="spellStart"/>
      <w:r w:rsidRPr="00733F83">
        <w:t>CoastPredict</w:t>
      </w:r>
      <w:proofErr w:type="spellEnd"/>
      <w:r w:rsidRPr="00733F83">
        <w:t xml:space="preserve"> et du projet affilié dans la région </w:t>
      </w:r>
      <w:proofErr w:type="spellStart"/>
      <w:r w:rsidRPr="00733F83">
        <w:t>iCHEWS</w:t>
      </w:r>
      <w:proofErr w:type="spellEnd"/>
      <w:r w:rsidRPr="00733F83">
        <w:t xml:space="preserve"> en tant que contributions clés à la Décennie des Nations Unies pour l'océan, et leur alignement sur les priorités régionales pour faire progresser la résilience côtière, l'océanographie opérationnelle et la collaboration entre les différentes parties prenantes.</w:t>
      </w:r>
    </w:p>
    <w:p w14:paraId="7533A2A2" w14:textId="77777777" w:rsidR="00EB3E2B" w:rsidRPr="00733F83" w:rsidRDefault="00EB3E2B" w:rsidP="00EB3E2B">
      <w:pPr>
        <w:spacing w:before="240" w:after="240"/>
      </w:pPr>
      <w:r w:rsidRPr="00733F83">
        <w:rPr>
          <w:b/>
        </w:rPr>
        <w:t xml:space="preserve">Reconnaissant </w:t>
      </w:r>
      <w:r w:rsidRPr="00733F83">
        <w:t>les efforts entrepris pour formuler et promouvoir l'approbation et l'appropriation régionales de ces initiatives par le développement de sites pilotes et de propositions.</w:t>
      </w:r>
    </w:p>
    <w:p w14:paraId="58F31AE9" w14:textId="77777777" w:rsidR="00EB3E2B" w:rsidRPr="00733F83" w:rsidRDefault="00EB3E2B" w:rsidP="00EB3E2B">
      <w:pPr>
        <w:spacing w:before="240" w:after="240"/>
      </w:pPr>
      <w:r w:rsidRPr="00733F83">
        <w:rPr>
          <w:b/>
        </w:rPr>
        <w:t xml:space="preserve">Se félicitant </w:t>
      </w:r>
      <w:r w:rsidRPr="00733F83">
        <w:t xml:space="preserve">des activités entreprises pour développer et promouvoir les initiatives </w:t>
      </w:r>
      <w:proofErr w:type="spellStart"/>
      <w:r w:rsidRPr="00733F83">
        <w:t>GlobalCoast</w:t>
      </w:r>
      <w:proofErr w:type="spellEnd"/>
      <w:r w:rsidRPr="00733F83">
        <w:t xml:space="preserve"> / </w:t>
      </w:r>
      <w:proofErr w:type="spellStart"/>
      <w:r w:rsidRPr="00733F83">
        <w:t>CoastPredict</w:t>
      </w:r>
      <w:proofErr w:type="spellEnd"/>
      <w:r w:rsidRPr="00733F83">
        <w:t xml:space="preserve"> dans la région, et des efforts continus pour les aligner sur les priorités régionales et nationales.</w:t>
      </w:r>
    </w:p>
    <w:p w14:paraId="015C3271" w14:textId="77777777" w:rsidR="00EB3E2B" w:rsidRPr="00733F83" w:rsidRDefault="00EB3E2B" w:rsidP="00EB3E2B">
      <w:pPr>
        <w:spacing w:before="240" w:after="240"/>
      </w:pPr>
      <w:r w:rsidRPr="00733F83">
        <w:rPr>
          <w:b/>
        </w:rPr>
        <w:t xml:space="preserve">Soutien à la </w:t>
      </w:r>
      <w:r w:rsidRPr="00733F83">
        <w:t xml:space="preserve">proposition de projet dans le cadre du programme </w:t>
      </w:r>
      <w:proofErr w:type="spellStart"/>
      <w:r w:rsidRPr="00733F83">
        <w:t>GlobalCoast</w:t>
      </w:r>
      <w:proofErr w:type="spellEnd"/>
      <w:r w:rsidRPr="00733F83">
        <w:t xml:space="preserve"> / </w:t>
      </w:r>
      <w:proofErr w:type="spellStart"/>
      <w:r w:rsidRPr="00733F83">
        <w:t>CoastPredict</w:t>
      </w:r>
      <w:proofErr w:type="spellEnd"/>
      <w:r w:rsidRPr="00733F83">
        <w:t xml:space="preserve"> Decade, y compris le soutien à la mise en œuvre et à l'extension éventuelle des sites pilotes dans la région.</w:t>
      </w:r>
    </w:p>
    <w:p w14:paraId="4907CBB4" w14:textId="77777777" w:rsidR="00EB3E2B" w:rsidRPr="00733F83" w:rsidRDefault="00EB3E2B" w:rsidP="00EB3E2B">
      <w:pPr>
        <w:spacing w:before="240" w:after="240"/>
      </w:pPr>
      <w:r w:rsidRPr="00733F83">
        <w:rPr>
          <w:b/>
        </w:rPr>
        <w:t xml:space="preserve">Invite </w:t>
      </w:r>
      <w:r w:rsidRPr="00733F83">
        <w:t>les États membres à :</w:t>
      </w:r>
    </w:p>
    <w:p w14:paraId="4B1E8A23" w14:textId="77777777" w:rsidR="00EB3E2B" w:rsidRPr="00733F83" w:rsidRDefault="00EB3E2B" w:rsidP="00EB3E2B">
      <w:pPr>
        <w:numPr>
          <w:ilvl w:val="0"/>
          <w:numId w:val="31"/>
        </w:numPr>
        <w:spacing w:before="240" w:after="200"/>
      </w:pPr>
      <w:r w:rsidRPr="00733F83">
        <w:t xml:space="preserve">Fournir des lettres d'approbation des autorités nationales désignées afin de participer à la proposition de financement du programme </w:t>
      </w:r>
      <w:proofErr w:type="spellStart"/>
      <w:r w:rsidRPr="00733F83">
        <w:t>GlobalCoast</w:t>
      </w:r>
      <w:proofErr w:type="spellEnd"/>
      <w:r w:rsidRPr="00733F83">
        <w:t xml:space="preserve"> / </w:t>
      </w:r>
      <w:proofErr w:type="spellStart"/>
      <w:r w:rsidRPr="00733F83">
        <w:t>CoastPredict</w:t>
      </w:r>
      <w:proofErr w:type="spellEnd"/>
      <w:r w:rsidRPr="00733F83">
        <w:t>.</w:t>
      </w:r>
    </w:p>
    <w:p w14:paraId="6DA64C89" w14:textId="77777777" w:rsidR="00EB3E2B" w:rsidRPr="00733F83" w:rsidRDefault="00EB3E2B" w:rsidP="00EB3E2B">
      <w:pPr>
        <w:numPr>
          <w:ilvl w:val="0"/>
          <w:numId w:val="31"/>
        </w:numPr>
        <w:spacing w:before="240" w:after="200"/>
        <w:rPr>
          <w:lang w:val="es-CO"/>
        </w:rPr>
      </w:pPr>
      <w:r w:rsidRPr="6F833DC0">
        <w:rPr>
          <w:lang w:val="es-CO"/>
        </w:rPr>
        <w:t xml:space="preserve">Continuer à soutenir les </w:t>
      </w:r>
      <w:proofErr w:type="spellStart"/>
      <w:r w:rsidRPr="6F833DC0">
        <w:rPr>
          <w:lang w:val="es-CO"/>
        </w:rPr>
        <w:t>activités</w:t>
      </w:r>
      <w:proofErr w:type="spellEnd"/>
      <w:r w:rsidRPr="6F833DC0">
        <w:rPr>
          <w:lang w:val="es-CO"/>
        </w:rPr>
        <w:t xml:space="preserve"> </w:t>
      </w:r>
      <w:proofErr w:type="spellStart"/>
      <w:r w:rsidRPr="6F833DC0">
        <w:rPr>
          <w:lang w:val="es-CO"/>
        </w:rPr>
        <w:t>liées</w:t>
      </w:r>
      <w:proofErr w:type="spellEnd"/>
      <w:r w:rsidRPr="6F833DC0">
        <w:rPr>
          <w:lang w:val="es-CO"/>
        </w:rPr>
        <w:t xml:space="preserve"> à </w:t>
      </w:r>
      <w:proofErr w:type="spellStart"/>
      <w:r w:rsidRPr="6F833DC0">
        <w:rPr>
          <w:lang w:val="es-CO"/>
        </w:rPr>
        <w:t>GlobalCoast</w:t>
      </w:r>
      <w:proofErr w:type="spellEnd"/>
      <w:r w:rsidRPr="6F833DC0">
        <w:rPr>
          <w:lang w:val="es-CO"/>
        </w:rPr>
        <w:t xml:space="preserve"> / </w:t>
      </w:r>
      <w:proofErr w:type="spellStart"/>
      <w:r w:rsidRPr="6F833DC0">
        <w:rPr>
          <w:lang w:val="es-CO"/>
        </w:rPr>
        <w:t>CoastPredict</w:t>
      </w:r>
      <w:proofErr w:type="spellEnd"/>
      <w:r w:rsidRPr="6F833DC0">
        <w:rPr>
          <w:lang w:val="es-CO"/>
        </w:rPr>
        <w:t xml:space="preserve"> dans la région, en particulier celles qui font progresser la mise en œuvre des projets pilotes, l'engagement national et la formulation de stratégies régionales dans le cadre des projets soutenus par la Décennie des Nations unies pour </w:t>
      </w:r>
      <w:proofErr w:type="spellStart"/>
      <w:r w:rsidRPr="6F833DC0">
        <w:rPr>
          <w:lang w:val="es-CO"/>
        </w:rPr>
        <w:t>l'océan</w:t>
      </w:r>
      <w:proofErr w:type="spellEnd"/>
      <w:r w:rsidRPr="6F833DC0">
        <w:rPr>
          <w:lang w:val="es-CO"/>
        </w:rPr>
        <w:t xml:space="preserve">, </w:t>
      </w:r>
      <w:proofErr w:type="spellStart"/>
      <w:r w:rsidRPr="6F833DC0">
        <w:rPr>
          <w:lang w:val="es-CO"/>
        </w:rPr>
        <w:t>tels</w:t>
      </w:r>
      <w:proofErr w:type="spellEnd"/>
      <w:r w:rsidRPr="6F833DC0">
        <w:rPr>
          <w:lang w:val="es-CO"/>
        </w:rPr>
        <w:t xml:space="preserve"> que </w:t>
      </w:r>
      <w:proofErr w:type="spellStart"/>
      <w:r w:rsidRPr="6F833DC0">
        <w:rPr>
          <w:lang w:val="es-CO"/>
        </w:rPr>
        <w:t>l'iCHEWS</w:t>
      </w:r>
      <w:proofErr w:type="spellEnd"/>
      <w:r w:rsidRPr="6F833DC0">
        <w:rPr>
          <w:lang w:val="es-CO"/>
        </w:rPr>
        <w:t xml:space="preserve">. </w:t>
      </w:r>
    </w:p>
    <w:p w14:paraId="1FD30C39" w14:textId="77777777" w:rsidR="00EB3E2B" w:rsidRPr="00733F83" w:rsidRDefault="00EB3E2B" w:rsidP="00EB3E2B">
      <w:pPr>
        <w:numPr>
          <w:ilvl w:val="0"/>
          <w:numId w:val="31"/>
        </w:numPr>
        <w:spacing w:before="240" w:after="200"/>
      </w:pPr>
      <w:r w:rsidRPr="00733F83">
        <w:t>Désigner un point focal national pour les observations océaniques et la coordination de la résilience des océans afin de contribuer au groupe de travail IOCARIBE-GOOS.</w:t>
      </w:r>
    </w:p>
    <w:p w14:paraId="7E88A246" w14:textId="77777777" w:rsidR="00EB3E2B" w:rsidRPr="00733F83" w:rsidRDefault="00EB3E2B" w:rsidP="00EB3E2B">
      <w:pPr>
        <w:spacing w:before="240" w:after="240"/>
        <w:rPr>
          <w:b/>
        </w:rPr>
      </w:pPr>
      <w:r w:rsidRPr="00733F83">
        <w:rPr>
          <w:b/>
        </w:rPr>
        <w:t xml:space="preserve">Demande au </w:t>
      </w:r>
      <w:r w:rsidRPr="00733F83">
        <w:t xml:space="preserve">Secrétaire de l'IOCARIBE de </w:t>
      </w:r>
      <w:r w:rsidRPr="00733F83">
        <w:rPr>
          <w:b/>
        </w:rPr>
        <w:t>:</w:t>
      </w:r>
    </w:p>
    <w:p w14:paraId="5AC640C7" w14:textId="77777777" w:rsidR="00EB3E2B" w:rsidRPr="00733F83" w:rsidRDefault="00EB3E2B" w:rsidP="00EB3E2B">
      <w:pPr>
        <w:numPr>
          <w:ilvl w:val="0"/>
          <w:numId w:val="14"/>
        </w:numPr>
        <w:spacing w:before="200" w:after="200"/>
      </w:pPr>
      <w:r w:rsidRPr="00733F83">
        <w:t xml:space="preserve">Établir un cadre de partenariat avec le </w:t>
      </w:r>
      <w:proofErr w:type="spellStart"/>
      <w:r w:rsidRPr="00733F83">
        <w:t>Fishing</w:t>
      </w:r>
      <w:proofErr w:type="spellEnd"/>
      <w:r w:rsidRPr="00733F83">
        <w:t xml:space="preserve"> Vessel Ocean </w:t>
      </w:r>
      <w:proofErr w:type="spellStart"/>
      <w:r w:rsidRPr="00733F83">
        <w:t>Observing</w:t>
      </w:r>
      <w:proofErr w:type="spellEnd"/>
      <w:r w:rsidRPr="00733F83">
        <w:t xml:space="preserve"> Network </w:t>
      </w:r>
      <w:r w:rsidRPr="00733F83">
        <w:lastRenderedPageBreak/>
        <w:t>(FVON) pour permettre la coopération dans les efforts d'observation régionaux dans le cadre de l'IOCARIBE-GOOS.</w:t>
      </w:r>
    </w:p>
    <w:p w14:paraId="02AFFB1F" w14:textId="77777777" w:rsidR="00EB3E2B" w:rsidRPr="00733F83" w:rsidRDefault="00EB3E2B" w:rsidP="00EB3E2B">
      <w:pPr>
        <w:numPr>
          <w:ilvl w:val="0"/>
          <w:numId w:val="14"/>
        </w:numPr>
        <w:spacing w:before="200" w:after="200"/>
      </w:pPr>
      <w:r w:rsidRPr="00733F83">
        <w:t>Encourager la collaboration continue avec le Groupe de coordination des observations du GOOS (OCG) et d'autres partenaires mondiaux et régionaux pour soutenir l'IOCARIBE-GOOS :</w:t>
      </w:r>
    </w:p>
    <w:p w14:paraId="34418C29" w14:textId="77777777" w:rsidR="00EB3E2B" w:rsidRPr="00733F83" w:rsidRDefault="00EB3E2B" w:rsidP="00EB3E2B">
      <w:pPr>
        <w:numPr>
          <w:ilvl w:val="1"/>
          <w:numId w:val="14"/>
        </w:numPr>
        <w:spacing w:before="200" w:after="200"/>
      </w:pPr>
      <w:proofErr w:type="spellStart"/>
      <w:r w:rsidRPr="00733F83">
        <w:t>Co-développer</w:t>
      </w:r>
      <w:proofErr w:type="spellEnd"/>
      <w:r w:rsidRPr="00733F83">
        <w:t xml:space="preserve"> les composantes du système d'observation qui contribuent à améliorer les capacités nationales de prévision, en particulier pour les ouragans et les inondations côtières.</w:t>
      </w:r>
    </w:p>
    <w:p w14:paraId="51AAC7B4" w14:textId="77777777" w:rsidR="00EB3E2B" w:rsidRPr="00733F83" w:rsidRDefault="00EB3E2B" w:rsidP="00EB3E2B">
      <w:pPr>
        <w:numPr>
          <w:ilvl w:val="1"/>
          <w:numId w:val="14"/>
        </w:numPr>
        <w:spacing w:before="200" w:after="200"/>
      </w:pPr>
      <w:r w:rsidRPr="00733F83">
        <w:t>Fournir une assistance technique.</w:t>
      </w:r>
    </w:p>
    <w:p w14:paraId="1FBC27D3" w14:textId="77777777" w:rsidR="00EB3E2B" w:rsidRPr="00733F83" w:rsidRDefault="00EB3E2B" w:rsidP="00EB3E2B">
      <w:pPr>
        <w:numPr>
          <w:ilvl w:val="1"/>
          <w:numId w:val="14"/>
        </w:numPr>
        <w:spacing w:before="200" w:after="200"/>
      </w:pPr>
      <w:r w:rsidRPr="00733F83">
        <w:t>Offrir des opportunités de développement des capacités, y compris une formation technique conjointe facilitée par l'IOCARIBE-GOOS et le groupe de travail sur le développement des capacités, ciblant les institutions et les parties prenantes des Caraïbes.</w:t>
      </w:r>
    </w:p>
    <w:p w14:paraId="10507E8E" w14:textId="77777777" w:rsidR="00EB3E2B" w:rsidRPr="00733F83" w:rsidRDefault="00EB3E2B" w:rsidP="00EB3E2B">
      <w:pPr>
        <w:spacing w:before="200" w:after="200"/>
      </w:pPr>
    </w:p>
    <w:p w14:paraId="7B13CA33" w14:textId="77777777" w:rsidR="00EB3E2B" w:rsidRPr="00733F83" w:rsidRDefault="00EB3E2B" w:rsidP="00EB3E2B">
      <w:pPr>
        <w:spacing w:before="200" w:after="200"/>
      </w:pPr>
    </w:p>
    <w:p w14:paraId="414104B5" w14:textId="77777777" w:rsidR="00EB3E2B" w:rsidRPr="00733F83" w:rsidRDefault="00EB3E2B" w:rsidP="00EB3E2B">
      <w:pPr>
        <w:jc w:val="center"/>
      </w:pPr>
    </w:p>
    <w:p w14:paraId="765E6918" w14:textId="77777777" w:rsidR="00EB3E2B" w:rsidRPr="00733F83" w:rsidRDefault="00EB3E2B" w:rsidP="00EB3E2B">
      <w:pPr>
        <w:jc w:val="center"/>
        <w:rPr>
          <w:u w:val="single"/>
        </w:rPr>
      </w:pPr>
    </w:p>
    <w:p w14:paraId="1EF2B9A7" w14:textId="77777777" w:rsidR="00EB3E2B" w:rsidRPr="00733F83" w:rsidRDefault="00EB3E2B" w:rsidP="00EB3E2B">
      <w:pPr>
        <w:jc w:val="center"/>
        <w:rPr>
          <w:u w:val="single"/>
        </w:rPr>
      </w:pPr>
    </w:p>
    <w:p w14:paraId="60C8FFED" w14:textId="77777777" w:rsidR="00EB3E2B" w:rsidRPr="00733F83" w:rsidRDefault="00EB3E2B" w:rsidP="00EB3E2B">
      <w:pPr>
        <w:jc w:val="center"/>
        <w:rPr>
          <w:u w:val="single"/>
        </w:rPr>
      </w:pPr>
    </w:p>
    <w:p w14:paraId="1A0F1326" w14:textId="77777777" w:rsidR="00EB3E2B" w:rsidRPr="00733F83" w:rsidRDefault="00EB3E2B" w:rsidP="00EB3E2B">
      <w:pPr>
        <w:jc w:val="center"/>
        <w:rPr>
          <w:u w:val="single"/>
        </w:rPr>
      </w:pPr>
    </w:p>
    <w:p w14:paraId="4F5E496F" w14:textId="77777777" w:rsidR="00EB3E2B" w:rsidRPr="00733F83" w:rsidRDefault="00EB3E2B" w:rsidP="00EB3E2B">
      <w:pPr>
        <w:jc w:val="center"/>
        <w:rPr>
          <w:u w:val="single"/>
        </w:rPr>
      </w:pPr>
    </w:p>
    <w:p w14:paraId="6F33FCBD" w14:textId="77777777" w:rsidR="00EB3E2B" w:rsidRPr="00733F83" w:rsidRDefault="00EB3E2B" w:rsidP="00EB3E2B">
      <w:pPr>
        <w:jc w:val="center"/>
        <w:rPr>
          <w:u w:val="single"/>
        </w:rPr>
      </w:pPr>
      <w:bookmarkStart w:id="8" w:name="Recommendation_5"/>
      <w:bookmarkEnd w:id="8"/>
      <w:r w:rsidRPr="00733F83">
        <w:rPr>
          <w:u w:val="single"/>
        </w:rPr>
        <w:t>Recommandation SC-IOCARIBE-XVIII.5</w:t>
      </w:r>
    </w:p>
    <w:p w14:paraId="3873E190" w14:textId="77777777" w:rsidR="00EB3E2B" w:rsidRPr="00733F83" w:rsidRDefault="00EB3E2B" w:rsidP="00EB3E2B"/>
    <w:p w14:paraId="50A11160" w14:textId="77777777" w:rsidR="00EB3E2B" w:rsidRPr="00733F83" w:rsidRDefault="00EB3E2B" w:rsidP="00EB3E2B">
      <w:pPr>
        <w:jc w:val="center"/>
        <w:rPr>
          <w:b/>
        </w:rPr>
      </w:pPr>
      <w:r w:rsidRPr="00733F83">
        <w:rPr>
          <w:b/>
        </w:rPr>
        <w:t>Carbone bleu</w:t>
      </w:r>
    </w:p>
    <w:p w14:paraId="4E247554" w14:textId="7B67C056" w:rsidR="00EB3E2B" w:rsidRPr="00733F83" w:rsidRDefault="00EB3E2B" w:rsidP="00EB3E2B">
      <w:pPr>
        <w:spacing w:before="240" w:after="240"/>
      </w:pPr>
      <w:r w:rsidRPr="00733F83">
        <w:t xml:space="preserve">La </w:t>
      </w:r>
      <w:r w:rsidR="2AF3AEAF" w:rsidRPr="00733F83">
        <w:t>S</w:t>
      </w:r>
      <w:r w:rsidRPr="00733F83">
        <w:t>ous-</w:t>
      </w:r>
      <w:r w:rsidR="60AE0868" w:rsidRPr="00733F83">
        <w:t>C</w:t>
      </w:r>
      <w:r w:rsidRPr="00733F83">
        <w:t>ommission de la COI pour les Caraïbes et les régions adjacentes (IOCARIBE),</w:t>
      </w:r>
    </w:p>
    <w:p w14:paraId="67B5EF1B" w14:textId="26D4AB48" w:rsidR="00EB3E2B" w:rsidRPr="00733F83" w:rsidRDefault="00EB3E2B" w:rsidP="00EB3E2B">
      <w:pPr>
        <w:spacing w:before="240" w:after="240"/>
        <w:rPr>
          <w:lang w:val="es-CO"/>
        </w:rPr>
      </w:pPr>
      <w:r w:rsidRPr="692DE06C">
        <w:rPr>
          <w:b/>
          <w:lang w:val="es-CO"/>
        </w:rPr>
        <w:t xml:space="preserve">Reconnaître </w:t>
      </w:r>
      <w:r w:rsidRPr="692DE06C">
        <w:rPr>
          <w:lang w:val="es-CO"/>
        </w:rPr>
        <w:t xml:space="preserve">qu'une science solide est le fondement de marchés et d'actions efficaces dans le cadre des systèmes de crédits de carbone bleu. </w:t>
      </w:r>
    </w:p>
    <w:p w14:paraId="49A2C59C" w14:textId="77777777" w:rsidR="00EB3E2B" w:rsidRPr="00733F83" w:rsidRDefault="00EB3E2B" w:rsidP="00EB3E2B">
      <w:pPr>
        <w:spacing w:before="240" w:after="240"/>
      </w:pPr>
      <w:r w:rsidRPr="00733F83">
        <w:rPr>
          <w:b/>
        </w:rPr>
        <w:t xml:space="preserve">Notant les </w:t>
      </w:r>
      <w:r w:rsidRPr="00733F83">
        <w:t>recherches qui ont permis d'estimer les stocks de carbone du sol des mangroves dans les pays à l'échelle mondiale.</w:t>
      </w:r>
    </w:p>
    <w:p w14:paraId="0483D39B" w14:textId="77777777" w:rsidR="00EB3E2B" w:rsidRPr="00733F83" w:rsidRDefault="00EB3E2B" w:rsidP="00EB3E2B">
      <w:pPr>
        <w:spacing w:before="240" w:after="240"/>
      </w:pPr>
      <w:r w:rsidRPr="00733F83">
        <w:rPr>
          <w:b/>
        </w:rPr>
        <w:t xml:space="preserve">Reconnaissant </w:t>
      </w:r>
      <w:r w:rsidRPr="00733F83">
        <w:t>l'importance des études sur le carbone bleu à l'appui des rapports sur les contributions déterminées au niveau national (CDN) dans le cadre de l'Accord de Paris.</w:t>
      </w:r>
    </w:p>
    <w:p w14:paraId="5059A44B" w14:textId="77777777" w:rsidR="00EB3E2B" w:rsidRPr="00733F83" w:rsidRDefault="00EB3E2B" w:rsidP="00EB3E2B">
      <w:pPr>
        <w:spacing w:before="240" w:after="240"/>
        <w:rPr>
          <w:b/>
        </w:rPr>
      </w:pPr>
      <w:r w:rsidRPr="00733F83">
        <w:rPr>
          <w:b/>
        </w:rPr>
        <w:t xml:space="preserve">Demande au </w:t>
      </w:r>
      <w:r w:rsidRPr="00733F83">
        <w:t xml:space="preserve">Secrétaire de l'IOCARIBE de </w:t>
      </w:r>
      <w:r w:rsidRPr="00733F83">
        <w:rPr>
          <w:b/>
        </w:rPr>
        <w:t>:</w:t>
      </w:r>
    </w:p>
    <w:p w14:paraId="1A00B9EC" w14:textId="77777777" w:rsidR="00EB3E2B" w:rsidRPr="00733F83" w:rsidRDefault="00EB3E2B" w:rsidP="00EB3E2B">
      <w:pPr>
        <w:numPr>
          <w:ilvl w:val="0"/>
          <w:numId w:val="34"/>
        </w:numPr>
        <w:spacing w:before="240" w:after="200"/>
      </w:pPr>
      <w:r w:rsidRPr="00733F83">
        <w:t>Faciliter la coopération technique avec les États membres sur les méthodes de quantification spatiale des écosystèmes de carbone bleu, qui sont nécessaires pour la reconnaissance des pertes économiques dans le cadre des systèmes de crédits de carbone bleu.</w:t>
      </w:r>
    </w:p>
    <w:p w14:paraId="28E9630F" w14:textId="77777777" w:rsidR="00EB3E2B" w:rsidRPr="00733F83" w:rsidRDefault="00EB3E2B" w:rsidP="00EB3E2B">
      <w:pPr>
        <w:numPr>
          <w:ilvl w:val="0"/>
          <w:numId w:val="34"/>
        </w:numPr>
        <w:spacing w:before="240" w:after="200"/>
      </w:pPr>
      <w:r w:rsidRPr="00733F83">
        <w:t>Étudier les possibilités de développer un centre régional de connaissances sur le carbone bleu dans la région des Caraïbes en tant que nouvelle action de la Décennie des Nations unies pour l'océan, en collaboration avec le programme de la Décennie mondiale de l'océan pour le carbone bleu (Go-</w:t>
      </w:r>
      <w:proofErr w:type="spellStart"/>
      <w:r w:rsidRPr="00733F83">
        <w:t>Bc</w:t>
      </w:r>
      <w:proofErr w:type="spellEnd"/>
      <w:r w:rsidRPr="00733F83">
        <w:t>) et en soutien aux solutions fondées sur la nature et aux actions connexes en matière de carbone bleu.</w:t>
      </w:r>
    </w:p>
    <w:p w14:paraId="1C8A0580" w14:textId="77777777" w:rsidR="00EB3E2B" w:rsidRPr="00733F83" w:rsidRDefault="00EB3E2B" w:rsidP="00EB3E2B">
      <w:pPr>
        <w:spacing w:before="240" w:after="240"/>
      </w:pPr>
    </w:p>
    <w:p w14:paraId="7601CB2D" w14:textId="77777777" w:rsidR="00EB3E2B" w:rsidRPr="00733F83" w:rsidRDefault="00EB3E2B" w:rsidP="00EB3E2B">
      <w:pPr>
        <w:spacing w:before="240" w:after="240"/>
      </w:pPr>
    </w:p>
    <w:p w14:paraId="3DDC68B8" w14:textId="77777777" w:rsidR="00EB3E2B" w:rsidRPr="00733F83" w:rsidRDefault="00EB3E2B" w:rsidP="00EB3E2B">
      <w:pPr>
        <w:jc w:val="center"/>
        <w:rPr>
          <w:u w:val="single"/>
        </w:rPr>
      </w:pPr>
      <w:bookmarkStart w:id="9" w:name="Recommendation_6"/>
      <w:bookmarkEnd w:id="9"/>
      <w:r w:rsidRPr="00733F83">
        <w:rPr>
          <w:u w:val="single"/>
        </w:rPr>
        <w:t>Recommandation SC-IOCARIBE-XVIII.6</w:t>
      </w:r>
    </w:p>
    <w:p w14:paraId="4BAA3FEC" w14:textId="77777777" w:rsidR="00EB3E2B" w:rsidRPr="00733F83" w:rsidRDefault="00EB3E2B" w:rsidP="00EB3E2B"/>
    <w:p w14:paraId="5D631BD9" w14:textId="77777777" w:rsidR="00EB3E2B" w:rsidRPr="00733F83" w:rsidRDefault="00EB3E2B" w:rsidP="00EB3E2B">
      <w:pPr>
        <w:jc w:val="center"/>
      </w:pPr>
      <w:r w:rsidRPr="00733F83">
        <w:rPr>
          <w:b/>
        </w:rPr>
        <w:t>Mécanisme de coordination régionale des océans</w:t>
      </w:r>
    </w:p>
    <w:p w14:paraId="3E3028E0" w14:textId="77777777" w:rsidR="00EB3E2B" w:rsidRPr="00733F83" w:rsidRDefault="00EB3E2B" w:rsidP="00EB3E2B">
      <w:pPr>
        <w:jc w:val="center"/>
      </w:pPr>
    </w:p>
    <w:p w14:paraId="589CF96F" w14:textId="0A4D28A4" w:rsidR="00EB3E2B" w:rsidRPr="00733F83" w:rsidRDefault="00EB3E2B" w:rsidP="00EB3E2B">
      <w:r w:rsidRPr="00733F83">
        <w:t xml:space="preserve">La </w:t>
      </w:r>
      <w:r w:rsidR="388A3041" w:rsidRPr="00733F83">
        <w:t>S</w:t>
      </w:r>
      <w:r w:rsidRPr="00733F83">
        <w:t>ous-</w:t>
      </w:r>
      <w:r w:rsidR="31835A2F" w:rsidRPr="00733F83">
        <w:t>C</w:t>
      </w:r>
      <w:r w:rsidRPr="00733F83">
        <w:t>ommission de la COI pour les Caraïbes et les régions adjacentes (IOCARIBE),</w:t>
      </w:r>
    </w:p>
    <w:p w14:paraId="1919EBEC" w14:textId="77777777" w:rsidR="00EB3E2B" w:rsidRPr="00733F83" w:rsidRDefault="00EB3E2B" w:rsidP="00EB3E2B"/>
    <w:p w14:paraId="127C72FC" w14:textId="77777777" w:rsidR="00EB3E2B" w:rsidRPr="00733F83" w:rsidRDefault="00EB3E2B" w:rsidP="00EB3E2B">
      <w:r w:rsidRPr="00733F83">
        <w:rPr>
          <w:b/>
        </w:rPr>
        <w:t xml:space="preserve">Rappelant </w:t>
      </w:r>
      <w:r w:rsidRPr="00733F83">
        <w:t>les progrès accomplis dans la mise en œuvre du "Programme d'action stratégique décennal pour la gestion durable des ressources marines vivantes partagées des grands écosystèmes marins des Caraïbes et du nord du plateau continental brésilien" (le "PAS CLME+", 2015 - 2025).</w:t>
      </w:r>
    </w:p>
    <w:p w14:paraId="4B53F481" w14:textId="77777777" w:rsidR="00EB3E2B" w:rsidRPr="00733F83" w:rsidRDefault="00EB3E2B" w:rsidP="00EB3E2B"/>
    <w:p w14:paraId="6ED7D339" w14:textId="77777777" w:rsidR="00EB3E2B" w:rsidRPr="00733F83" w:rsidRDefault="00EB3E2B" w:rsidP="00EB3E2B">
      <w:r w:rsidRPr="00733F83">
        <w:rPr>
          <w:b/>
        </w:rPr>
        <w:t>Reconnaissant l'</w:t>
      </w:r>
      <w:r w:rsidRPr="00733F83">
        <w:t>opportunité de soutenir la poursuite de la mise en œuvre du PAS à travers le projet PROCARIBE+ du PNUD/FEM/UNOPS : "Protéger et restaurer le capital naturel de l'océan, renforcer la résilience et soutenir les investissements à l'échelle régionale pour un développement socio-économique bleu durable".</w:t>
      </w:r>
    </w:p>
    <w:p w14:paraId="68CF3428" w14:textId="77777777" w:rsidR="00EB3E2B" w:rsidRPr="00733F83" w:rsidRDefault="00EB3E2B" w:rsidP="00EB3E2B"/>
    <w:p w14:paraId="7010C582" w14:textId="77777777" w:rsidR="00EB3E2B" w:rsidRPr="00733F83" w:rsidRDefault="00EB3E2B" w:rsidP="00EB3E2B">
      <w:r w:rsidRPr="00733F83">
        <w:rPr>
          <w:b/>
        </w:rPr>
        <w:t xml:space="preserve">Notant </w:t>
      </w:r>
      <w:r w:rsidRPr="00733F83">
        <w:t>la mise en place récente du "Mécanisme de coordination à l'appui de la gouvernance intégrée des océans dans les grands écosystèmes marins des Caraïbes et du nord du plateau continental brésilien", également appelé "Mécanisme de coordination des océans (MCO)".</w:t>
      </w:r>
    </w:p>
    <w:p w14:paraId="4E760A68" w14:textId="77777777" w:rsidR="00EB3E2B" w:rsidRPr="00733F83" w:rsidRDefault="00EB3E2B" w:rsidP="00EB3E2B"/>
    <w:p w14:paraId="217A0D20" w14:textId="77777777" w:rsidR="00EB3E2B" w:rsidRPr="00733F83" w:rsidRDefault="00EB3E2B" w:rsidP="00EB3E2B">
      <w:r w:rsidRPr="00733F83">
        <w:rPr>
          <w:b/>
        </w:rPr>
        <w:t>Se félicitant de l</w:t>
      </w:r>
      <w:r w:rsidRPr="00733F83">
        <w:t>'étape régionale que constitue le lancement de l'OCM, de son importance en tant que plate-forme/instrument clé pour l'avancement du mandat de l'IOCARIBE, et du rôle de pionnier de la région dans un contexte d'appels mondiaux croissants en faveur d'une coordination et d'une collaboration multi-pays, multi-agences et intersectorielles renforcées sur les océans.</w:t>
      </w:r>
    </w:p>
    <w:p w14:paraId="62565A31" w14:textId="77777777" w:rsidR="00EB3E2B" w:rsidRPr="00733F83" w:rsidRDefault="00EB3E2B" w:rsidP="00EB3E2B"/>
    <w:p w14:paraId="25CEF447" w14:textId="77777777" w:rsidR="00EB3E2B" w:rsidRPr="00733F83" w:rsidRDefault="00EB3E2B" w:rsidP="00EB3E2B">
      <w:r w:rsidRPr="00733F83">
        <w:rPr>
          <w:b/>
        </w:rPr>
        <w:t xml:space="preserve">Notant </w:t>
      </w:r>
      <w:r w:rsidRPr="00733F83">
        <w:t>la prochaine première réunion du groupe directeur de l'OCM, "SGM1" (c'est-à-dire le groupe des pays membres de l'OCM), prévue les 13 et 14 mai 2025 avant l'UNOC3, qui sera accueillie par le gouvernement de la Grenade.</w:t>
      </w:r>
    </w:p>
    <w:p w14:paraId="0F7DFF8B" w14:textId="77777777" w:rsidR="00EB3E2B" w:rsidRPr="00733F83" w:rsidRDefault="00EB3E2B" w:rsidP="00EB3E2B"/>
    <w:p w14:paraId="6FC1305D" w14:textId="77777777" w:rsidR="00EB3E2B" w:rsidRPr="00733F83" w:rsidRDefault="00EB3E2B" w:rsidP="00EB3E2B">
      <w:r w:rsidRPr="00733F83">
        <w:rPr>
          <w:b/>
        </w:rPr>
        <w:t xml:space="preserve">Encourage les </w:t>
      </w:r>
      <w:r w:rsidRPr="00733F83">
        <w:t>États membres de l'IOCARIBE à :</w:t>
      </w:r>
    </w:p>
    <w:p w14:paraId="61695AD1" w14:textId="77777777" w:rsidR="00EB3E2B" w:rsidRPr="00733F83" w:rsidRDefault="00EB3E2B" w:rsidP="00EB3E2B">
      <w:pPr>
        <w:numPr>
          <w:ilvl w:val="0"/>
          <w:numId w:val="26"/>
        </w:numPr>
        <w:spacing w:before="200"/>
      </w:pPr>
      <w:r w:rsidRPr="00733F83">
        <w:t>Envisager de signer le protocole d'accord de l'OCM et devenir membre de l'OCM dès que possible, s'ils ne l'ont pas encore rejoint, avec le soutien du secrétariat de l'IOCARIBE et de l'unité de projet PROCARIBE+.</w:t>
      </w:r>
    </w:p>
    <w:p w14:paraId="21CDE7A8" w14:textId="77777777" w:rsidR="00EB3E2B" w:rsidRPr="00733F83" w:rsidRDefault="00EB3E2B" w:rsidP="00EB3E2B">
      <w:pPr>
        <w:widowControl/>
        <w:numPr>
          <w:ilvl w:val="0"/>
          <w:numId w:val="26"/>
        </w:numPr>
        <w:spacing w:before="200" w:line="276" w:lineRule="auto"/>
      </w:pPr>
      <w:r w:rsidRPr="00733F83">
        <w:t>Participer à la première réunion du groupe de pilotage de l'OCM, soit en tant que membres de l'OCM, soit en tant qu'observateurs.</w:t>
      </w:r>
    </w:p>
    <w:p w14:paraId="733CE8CD" w14:textId="77777777" w:rsidR="00EB3E2B" w:rsidRPr="00733F83" w:rsidRDefault="00EB3E2B" w:rsidP="00EB3E2B">
      <w:pPr>
        <w:widowControl/>
        <w:numPr>
          <w:ilvl w:val="0"/>
          <w:numId w:val="26"/>
        </w:numPr>
        <w:spacing w:before="200" w:line="276" w:lineRule="auto"/>
      </w:pPr>
      <w:r w:rsidRPr="00733F83">
        <w:t>Tirer parti des possibilités offertes par le financement PROCARIBE+ pour exploiter au mieux la valeur ajoutée de l'OCM au cours de la période 2025-2028.</w:t>
      </w:r>
    </w:p>
    <w:p w14:paraId="02BBF956" w14:textId="77777777" w:rsidR="00EB3E2B" w:rsidRPr="00733F83" w:rsidRDefault="00EB3E2B" w:rsidP="00EB3E2B"/>
    <w:p w14:paraId="00590B46" w14:textId="30350843" w:rsidR="00EB3E2B" w:rsidRPr="00733F83" w:rsidRDefault="00EB3E2B" w:rsidP="00EB3E2B">
      <w:pPr>
        <w:rPr>
          <w:lang w:val="es-CO"/>
        </w:rPr>
      </w:pPr>
      <w:r w:rsidRPr="692DE06C">
        <w:rPr>
          <w:b/>
          <w:lang w:val="es-CO"/>
        </w:rPr>
        <w:t xml:space="preserve">Recommande </w:t>
      </w:r>
      <w:r w:rsidRPr="692DE06C">
        <w:rPr>
          <w:lang w:val="es-CO"/>
        </w:rPr>
        <w:t>que le Secrétariat de l'IOCARIBE continue à s'engager efficacement dans les activités de l'OCM dans la région qui contribuent à l'avancement du mandat de la COI et de l'UNESCO.</w:t>
      </w:r>
    </w:p>
    <w:p w14:paraId="7312244B" w14:textId="77777777" w:rsidR="00EB3E2B" w:rsidRPr="00733F83" w:rsidRDefault="00EB3E2B" w:rsidP="00EB3E2B"/>
    <w:p w14:paraId="1A073400" w14:textId="77777777" w:rsidR="00EB3E2B" w:rsidRPr="00733F83" w:rsidRDefault="00EB3E2B" w:rsidP="00EB3E2B"/>
    <w:p w14:paraId="216296BB" w14:textId="77777777" w:rsidR="00EB3E2B" w:rsidRPr="00733F83" w:rsidRDefault="00EB3E2B" w:rsidP="00EB3E2B">
      <w:pPr>
        <w:spacing w:before="240" w:after="240"/>
      </w:pPr>
    </w:p>
    <w:p w14:paraId="5E3D3649" w14:textId="77777777" w:rsidR="00EB3E2B" w:rsidRPr="00733F83" w:rsidRDefault="00EB3E2B" w:rsidP="00EB3E2B">
      <w:pPr>
        <w:jc w:val="center"/>
        <w:rPr>
          <w:u w:val="single"/>
        </w:rPr>
      </w:pPr>
      <w:bookmarkStart w:id="10" w:name="Recommendation_7"/>
      <w:bookmarkEnd w:id="10"/>
      <w:r w:rsidRPr="00733F83">
        <w:rPr>
          <w:u w:val="single"/>
        </w:rPr>
        <w:t>Recommandation SC-IOCARIBE-XVIII.7</w:t>
      </w:r>
    </w:p>
    <w:p w14:paraId="6D586AC1" w14:textId="77777777" w:rsidR="00EB3E2B" w:rsidRPr="00733F83" w:rsidRDefault="00EB3E2B" w:rsidP="00EB3E2B"/>
    <w:p w14:paraId="74045EF4" w14:textId="77777777" w:rsidR="00EB3E2B" w:rsidRPr="00733F83" w:rsidRDefault="00EB3E2B" w:rsidP="00EB3E2B">
      <w:pPr>
        <w:jc w:val="center"/>
      </w:pPr>
      <w:r w:rsidRPr="00733F83">
        <w:rPr>
          <w:b/>
        </w:rPr>
        <w:t>Aménagement de l'espace marin</w:t>
      </w:r>
    </w:p>
    <w:p w14:paraId="66BBA5C2" w14:textId="77777777" w:rsidR="00EB3E2B" w:rsidRPr="00733F83" w:rsidRDefault="00EB3E2B" w:rsidP="00EB3E2B">
      <w:pPr>
        <w:jc w:val="center"/>
      </w:pPr>
    </w:p>
    <w:p w14:paraId="47D2EBB4" w14:textId="679EA278" w:rsidR="00EB3E2B" w:rsidRPr="00733F83" w:rsidRDefault="00EB3E2B" w:rsidP="00EB3E2B">
      <w:r w:rsidRPr="00733F83">
        <w:t xml:space="preserve">La </w:t>
      </w:r>
      <w:r w:rsidR="4CE850E6" w:rsidRPr="00733F83">
        <w:t>S</w:t>
      </w:r>
      <w:r w:rsidRPr="00733F83">
        <w:t>ous-</w:t>
      </w:r>
      <w:r w:rsidR="44533CA5" w:rsidRPr="00733F83">
        <w:t>C</w:t>
      </w:r>
      <w:r w:rsidRPr="00733F83">
        <w:t>ommission de la COI pour les Caraïbes et les régions adjacentes (IOCARIBE),</w:t>
      </w:r>
    </w:p>
    <w:p w14:paraId="01A92545" w14:textId="77777777" w:rsidR="00EB3E2B" w:rsidRPr="00733F83" w:rsidRDefault="00EB3E2B" w:rsidP="00EB3E2B">
      <w:pPr>
        <w:spacing w:before="240" w:after="240"/>
      </w:pPr>
      <w:r w:rsidRPr="00733F83">
        <w:rPr>
          <w:b/>
        </w:rPr>
        <w:t xml:space="preserve">Considérant </w:t>
      </w:r>
      <w:r w:rsidRPr="00733F83">
        <w:t>l'importance de la planification de l'espace marin (PEM) pour la mise en œuvre efficace des stratégies de développement national, ainsi que celles liées aux économies océaniques durables.</w:t>
      </w:r>
    </w:p>
    <w:p w14:paraId="5107897A" w14:textId="00861A2A" w:rsidR="00EB3E2B" w:rsidRPr="00733F83" w:rsidRDefault="00EB3E2B" w:rsidP="00EB3E2B">
      <w:pPr>
        <w:spacing w:before="240" w:after="240"/>
        <w:rPr>
          <w:lang w:val="es-CO"/>
        </w:rPr>
      </w:pPr>
      <w:r w:rsidRPr="692DE06C">
        <w:rPr>
          <w:b/>
          <w:lang w:val="es-CO"/>
        </w:rPr>
        <w:t xml:space="preserve">Se félicitant de </w:t>
      </w:r>
      <w:r w:rsidRPr="692DE06C">
        <w:rPr>
          <w:lang w:val="es-CO"/>
        </w:rPr>
        <w:t>la création d'un nouveau centre de collaboration de la décennie sur les économies océaniques durables à Barcelone, en Espagne.</w:t>
      </w:r>
    </w:p>
    <w:p w14:paraId="2931FD1E" w14:textId="77777777" w:rsidR="00EB3E2B" w:rsidRPr="00733F83" w:rsidRDefault="00EB3E2B" w:rsidP="00EB3E2B">
      <w:pPr>
        <w:spacing w:before="240" w:after="240"/>
      </w:pPr>
      <w:r w:rsidRPr="00733F83">
        <w:rPr>
          <w:b/>
        </w:rPr>
        <w:t>Reconnaissant l'</w:t>
      </w:r>
      <w:r w:rsidRPr="00733F83">
        <w:t>importance d'intégrer des stratégies d'adaptation au changement climatique dans l'élaboration des plans nationaux de gestion de la sécurité alimentaire, ainsi que d'assurer un développement participatif et l'application de l'approche fondée sur les écosystèmes.</w:t>
      </w:r>
    </w:p>
    <w:p w14:paraId="7DC82722" w14:textId="77777777" w:rsidR="00EB3E2B" w:rsidRPr="00733F83" w:rsidRDefault="00EB3E2B" w:rsidP="00EB3E2B">
      <w:pPr>
        <w:spacing w:before="240" w:after="240"/>
      </w:pPr>
      <w:r w:rsidRPr="00733F83">
        <w:rPr>
          <w:b/>
        </w:rPr>
        <w:t xml:space="preserve">Reconnaissant </w:t>
      </w:r>
      <w:r w:rsidRPr="00733F83">
        <w:t xml:space="preserve">l'approche progressive de la PSM développée par l'initiative conjointe </w:t>
      </w:r>
      <w:proofErr w:type="spellStart"/>
      <w:r w:rsidRPr="00733F83">
        <w:t>PSMglobale</w:t>
      </w:r>
      <w:proofErr w:type="spellEnd"/>
      <w:r w:rsidRPr="00733F83">
        <w:t xml:space="preserve"> de la COI et de l'UNESCO et de la Direction générale des affaires maritimes et de la pêche de la Commission européenne (DG MARE).</w:t>
      </w:r>
    </w:p>
    <w:p w14:paraId="02924F3F" w14:textId="34AD3B08" w:rsidR="00EB3E2B" w:rsidRPr="00733F83" w:rsidRDefault="00EB3E2B" w:rsidP="00EB3E2B">
      <w:pPr>
        <w:spacing w:before="240" w:after="240"/>
        <w:rPr>
          <w:b/>
          <w:lang w:val="es-CO"/>
        </w:rPr>
      </w:pPr>
      <w:r w:rsidRPr="692DE06C">
        <w:rPr>
          <w:b/>
          <w:lang w:val="es-CO"/>
        </w:rPr>
        <w:t xml:space="preserve">Demande au </w:t>
      </w:r>
      <w:r w:rsidRPr="692DE06C">
        <w:rPr>
          <w:lang w:val="es-CO"/>
        </w:rPr>
        <w:t xml:space="preserve">Secrétaire de l'IOCARIBE de </w:t>
      </w:r>
      <w:r w:rsidRPr="692DE06C">
        <w:rPr>
          <w:b/>
          <w:lang w:val="es-CO"/>
        </w:rPr>
        <w:t>:</w:t>
      </w:r>
    </w:p>
    <w:p w14:paraId="41F6DC28" w14:textId="77777777" w:rsidR="00EB3E2B" w:rsidRPr="00733F83" w:rsidRDefault="00EB3E2B" w:rsidP="00EB3E2B">
      <w:pPr>
        <w:numPr>
          <w:ilvl w:val="0"/>
          <w:numId w:val="15"/>
        </w:numPr>
        <w:spacing w:before="240" w:after="200"/>
      </w:pPr>
      <w:r w:rsidRPr="00733F83">
        <w:t>Rechercher des possibilités de formation pour les processus de PSM dans les États membres, y compris l'application des boîtes à outils mondiales.</w:t>
      </w:r>
    </w:p>
    <w:p w14:paraId="3668D42F" w14:textId="77777777" w:rsidR="00EB3E2B" w:rsidRPr="00733F83" w:rsidRDefault="00EB3E2B" w:rsidP="00EB3E2B">
      <w:pPr>
        <w:numPr>
          <w:ilvl w:val="0"/>
          <w:numId w:val="15"/>
        </w:numPr>
        <w:spacing w:after="200"/>
      </w:pPr>
      <w:r w:rsidRPr="00733F83">
        <w:t>Faciliter la formation à la mise en œuvre d'études d'évaluation économique à l'appui des processus de planification stratégique multisectorielle.</w:t>
      </w:r>
    </w:p>
    <w:p w14:paraId="6EA0DDE5" w14:textId="77777777" w:rsidR="00EB3E2B" w:rsidRPr="00733F83" w:rsidRDefault="00EB3E2B" w:rsidP="00EB3E2B">
      <w:pPr>
        <w:spacing w:before="240" w:after="240"/>
        <w:rPr>
          <w:b/>
        </w:rPr>
      </w:pPr>
      <w:proofErr w:type="gramStart"/>
      <w:r w:rsidRPr="00733F83">
        <w:rPr>
          <w:b/>
        </w:rPr>
        <w:t>encourage</w:t>
      </w:r>
      <w:proofErr w:type="gramEnd"/>
      <w:r w:rsidRPr="00733F83">
        <w:rPr>
          <w:b/>
        </w:rPr>
        <w:t xml:space="preserve"> les </w:t>
      </w:r>
      <w:r w:rsidRPr="00733F83">
        <w:t>États membres à participer activement aux activités nationales et régionales de planification de l'espace maritime en cours, y compris celles qui font partie du projet PROCARIBE+.</w:t>
      </w:r>
    </w:p>
    <w:p w14:paraId="2C6D9DB1" w14:textId="77777777" w:rsidR="00EB3E2B" w:rsidRPr="00733F83" w:rsidRDefault="00EB3E2B" w:rsidP="00EB3E2B">
      <w:pPr>
        <w:spacing w:before="240" w:after="240"/>
      </w:pPr>
    </w:p>
    <w:p w14:paraId="044760C0" w14:textId="77777777" w:rsidR="00EB3E2B" w:rsidRPr="00733F83" w:rsidRDefault="00EB3E2B" w:rsidP="00EB3E2B">
      <w:pPr>
        <w:jc w:val="center"/>
        <w:rPr>
          <w:u w:val="single"/>
        </w:rPr>
      </w:pPr>
    </w:p>
    <w:p w14:paraId="41576A3C" w14:textId="77777777" w:rsidR="00EB3E2B" w:rsidRPr="00733F83" w:rsidRDefault="00EB3E2B" w:rsidP="00EB3E2B">
      <w:pPr>
        <w:jc w:val="center"/>
        <w:rPr>
          <w:u w:val="single"/>
        </w:rPr>
      </w:pPr>
      <w:bookmarkStart w:id="11" w:name="Recommendation_8"/>
      <w:bookmarkEnd w:id="11"/>
      <w:r w:rsidRPr="00733F83">
        <w:rPr>
          <w:u w:val="single"/>
        </w:rPr>
        <w:t>Recommandation SC-IOCARIBE-XVIII.8</w:t>
      </w:r>
    </w:p>
    <w:p w14:paraId="51935A62" w14:textId="77777777" w:rsidR="00EB3E2B" w:rsidRPr="00733F83" w:rsidRDefault="00EB3E2B" w:rsidP="00EB3E2B"/>
    <w:p w14:paraId="1CFF5299" w14:textId="77777777" w:rsidR="00EB3E2B" w:rsidRPr="00733F83" w:rsidRDefault="00EB3E2B" w:rsidP="00EB3E2B">
      <w:pPr>
        <w:jc w:val="center"/>
      </w:pPr>
      <w:r w:rsidRPr="00733F83">
        <w:rPr>
          <w:b/>
        </w:rPr>
        <w:t>Projet PROCARIBE+ du PNUD/FEM/UNOPS</w:t>
      </w:r>
    </w:p>
    <w:p w14:paraId="0A1067C4" w14:textId="77777777" w:rsidR="00EB3E2B" w:rsidRPr="00733F83" w:rsidRDefault="00EB3E2B" w:rsidP="00EB3E2B">
      <w:pPr>
        <w:jc w:val="center"/>
      </w:pPr>
    </w:p>
    <w:p w14:paraId="326975D0" w14:textId="61F051A8" w:rsidR="00EB3E2B" w:rsidRPr="00733F83" w:rsidRDefault="00EB3E2B" w:rsidP="00EB3E2B">
      <w:r w:rsidRPr="00733F83">
        <w:t xml:space="preserve">La </w:t>
      </w:r>
      <w:r w:rsidR="1786EA94" w:rsidRPr="00733F83">
        <w:t>S</w:t>
      </w:r>
      <w:r w:rsidRPr="00733F83">
        <w:t>ous-</w:t>
      </w:r>
      <w:r w:rsidR="35AC65D7" w:rsidRPr="00733F83">
        <w:t>C</w:t>
      </w:r>
      <w:r w:rsidRPr="00733F83">
        <w:t>ommission de la COI pour les Caraïbes et les régions adjacentes (IOCARIBE),</w:t>
      </w:r>
    </w:p>
    <w:p w14:paraId="12D97B77" w14:textId="77777777" w:rsidR="00EB3E2B" w:rsidRPr="00733F83" w:rsidRDefault="00EB3E2B" w:rsidP="00EB3E2B"/>
    <w:p w14:paraId="3C6241F9" w14:textId="77777777" w:rsidR="00EB3E2B" w:rsidRPr="00733F83" w:rsidRDefault="00EB3E2B" w:rsidP="00EB3E2B">
      <w:r w:rsidRPr="00733F83">
        <w:rPr>
          <w:b/>
        </w:rPr>
        <w:t>Reconnaissant l'</w:t>
      </w:r>
      <w:r w:rsidRPr="00733F83">
        <w:t>opportunité de soutenir la mise en œuvre continue du PAS à travers le travail effectué par le projet PROCARIBE+ du PNUD/GEF/UNOPS : Protéger et restaurer le capital naturel de l'océan, renforcer la résilience et soutenir les investissements à l'échelle régionale pour un développement socio-économique bleu durable.</w:t>
      </w:r>
    </w:p>
    <w:p w14:paraId="2089BAB6" w14:textId="77777777" w:rsidR="00EB3E2B" w:rsidRPr="00733F83" w:rsidRDefault="00EB3E2B" w:rsidP="00EB3E2B"/>
    <w:p w14:paraId="5ECC9602" w14:textId="77777777" w:rsidR="00EB3E2B" w:rsidRPr="00733F83" w:rsidRDefault="00EB3E2B" w:rsidP="00EB3E2B">
      <w:r w:rsidRPr="00733F83">
        <w:rPr>
          <w:b/>
        </w:rPr>
        <w:t xml:space="preserve">Notant </w:t>
      </w:r>
      <w:r w:rsidRPr="00733F83">
        <w:t>l'accord établi entre le projet PROCARIBE+ du PNUD/FEM/UNOPS et l'IOCARIBE pour la mise en œuvre d'activités d'aménagement de l'espace marin dans la région.</w:t>
      </w:r>
    </w:p>
    <w:p w14:paraId="69A3A5E9" w14:textId="77777777" w:rsidR="00EB3E2B" w:rsidRPr="00733F83" w:rsidRDefault="00EB3E2B" w:rsidP="00EB3E2B"/>
    <w:p w14:paraId="4620DE05" w14:textId="77777777" w:rsidR="00EB3E2B" w:rsidRPr="00733F83" w:rsidRDefault="00EB3E2B" w:rsidP="00EB3E2B">
      <w:r w:rsidRPr="00733F83">
        <w:rPr>
          <w:b/>
        </w:rPr>
        <w:t xml:space="preserve">Recommande </w:t>
      </w:r>
      <w:r w:rsidRPr="00733F83">
        <w:t>que le Secrétariat de l'IOCARIBE continue à mettre en œuvre efficacement les activités du projet PROCARIBE+ dans la région, contribuant ainsi à l'avancement du mandat de la COI et de l'UNESCO.</w:t>
      </w:r>
    </w:p>
    <w:p w14:paraId="75F241C0" w14:textId="77777777" w:rsidR="00EB3E2B" w:rsidRPr="00733F83" w:rsidRDefault="00EB3E2B" w:rsidP="00EB3E2B"/>
    <w:p w14:paraId="69D15E14" w14:textId="77777777" w:rsidR="00EB3E2B" w:rsidRPr="00733F83" w:rsidRDefault="00EB3E2B" w:rsidP="00EB3E2B">
      <w:r w:rsidRPr="00733F83">
        <w:rPr>
          <w:b/>
        </w:rPr>
        <w:t xml:space="preserve">Encourage les </w:t>
      </w:r>
      <w:r w:rsidRPr="00733F83">
        <w:t>États membres de l'IOCARIBE à optimiser leur participation au projet PROCARIBE+ et aux activités connexes afin de garantir la réalisation en temps voulu des objectifs du projet et du cadre de résultats, en maximisant les avantages de la subvention du FEM PROCARIBE+ pour les États membres et la région.</w:t>
      </w:r>
    </w:p>
    <w:p w14:paraId="201324DF" w14:textId="77777777" w:rsidR="00EB3E2B" w:rsidRPr="00733F83" w:rsidRDefault="00EB3E2B" w:rsidP="00EB3E2B"/>
    <w:p w14:paraId="197A3F4E" w14:textId="77777777" w:rsidR="00EB3E2B" w:rsidRPr="00733F83" w:rsidRDefault="00EB3E2B" w:rsidP="00EB3E2B"/>
    <w:p w14:paraId="01DB40F9" w14:textId="77777777" w:rsidR="00EB3E2B" w:rsidRPr="00733F83" w:rsidRDefault="00EB3E2B" w:rsidP="00EB3E2B"/>
    <w:p w14:paraId="53583552" w14:textId="77777777" w:rsidR="00EB3E2B" w:rsidRPr="00733F83" w:rsidRDefault="00EB3E2B" w:rsidP="00EB3E2B">
      <w:pPr>
        <w:jc w:val="center"/>
        <w:rPr>
          <w:u w:val="single"/>
        </w:rPr>
      </w:pPr>
      <w:bookmarkStart w:id="12" w:name="Recommendation_9"/>
      <w:bookmarkEnd w:id="12"/>
      <w:r w:rsidRPr="00733F83">
        <w:rPr>
          <w:u w:val="single"/>
        </w:rPr>
        <w:t>Recommandation SC-IOCARIBE-XVIII.9</w:t>
      </w:r>
    </w:p>
    <w:p w14:paraId="7A0272B7" w14:textId="77777777" w:rsidR="00EB3E2B" w:rsidRPr="00733F83" w:rsidRDefault="00EB3E2B" w:rsidP="00EB3E2B"/>
    <w:p w14:paraId="4AF7C4D9" w14:textId="77777777" w:rsidR="00EB3E2B" w:rsidRPr="00733F83" w:rsidRDefault="00EB3E2B" w:rsidP="00EB3E2B">
      <w:pPr>
        <w:jc w:val="center"/>
      </w:pPr>
      <w:r w:rsidRPr="00733F83">
        <w:rPr>
          <w:b/>
        </w:rPr>
        <w:t>Données et informations sur les océans</w:t>
      </w:r>
    </w:p>
    <w:p w14:paraId="1E47A81A" w14:textId="77777777" w:rsidR="00EB3E2B" w:rsidRPr="00733F83" w:rsidRDefault="00EB3E2B" w:rsidP="00EB3E2B">
      <w:pPr>
        <w:jc w:val="center"/>
      </w:pPr>
    </w:p>
    <w:p w14:paraId="3E08BD2B" w14:textId="5EE31239" w:rsidR="00EB3E2B" w:rsidRPr="00733F83" w:rsidRDefault="00EB3E2B" w:rsidP="00EB3E2B">
      <w:r w:rsidRPr="00733F83">
        <w:t xml:space="preserve">La </w:t>
      </w:r>
      <w:r w:rsidR="49E59C7A" w:rsidRPr="00733F83">
        <w:t>S</w:t>
      </w:r>
      <w:r w:rsidRPr="00733F83">
        <w:t>ous-</w:t>
      </w:r>
      <w:r w:rsidR="08C571FA" w:rsidRPr="00733F83">
        <w:t>C</w:t>
      </w:r>
      <w:r w:rsidRPr="00733F83">
        <w:t>ommission de la COI pour les Caraïbes et les régions adjacentes (IOCARIBE),</w:t>
      </w:r>
    </w:p>
    <w:p w14:paraId="704DFEA6" w14:textId="77777777" w:rsidR="00EB3E2B" w:rsidRPr="00733F83" w:rsidRDefault="00EB3E2B" w:rsidP="00EB3E2B">
      <w:pPr>
        <w:spacing w:before="240" w:after="240"/>
      </w:pPr>
      <w:r w:rsidRPr="00733F83">
        <w:rPr>
          <w:b/>
        </w:rPr>
        <w:t xml:space="preserve">Reconnaissant le </w:t>
      </w:r>
      <w:r w:rsidRPr="00733F83">
        <w:t xml:space="preserve">travail effectué par l'IODE dans le cadre de ses trois composantes de programme : Ocean Teacher Global </w:t>
      </w:r>
      <w:proofErr w:type="spellStart"/>
      <w:r w:rsidRPr="00733F83">
        <w:t>Academy</w:t>
      </w:r>
      <w:proofErr w:type="spellEnd"/>
      <w:r w:rsidRPr="00733F83">
        <w:t xml:space="preserve"> (OTGA), le Système d'information sur la biodiversité des océans (OBIS) et le Système d'information sur les données océaniques (ODIS), ainsi que leur rôle dans le soutien à la gestion et au partage des données et de l'information dans la région.</w:t>
      </w:r>
    </w:p>
    <w:p w14:paraId="7B2F12F3" w14:textId="77777777" w:rsidR="00EB3E2B" w:rsidRPr="00733F83" w:rsidRDefault="00EB3E2B" w:rsidP="00EB3E2B">
      <w:pPr>
        <w:spacing w:before="240" w:after="240"/>
      </w:pPr>
      <w:r w:rsidRPr="00733F83">
        <w:rPr>
          <w:b/>
        </w:rPr>
        <w:t xml:space="preserve">Reconnaissant </w:t>
      </w:r>
      <w:r w:rsidRPr="00733F83">
        <w:t>l'importance de la création de centres nationaux de données océanographiques (CNDO) et d'unités de données associées (UDA) ou d'accords de collaboration entre les États membres, lorsqu'il n'est pas possible de créer des CNDO à part entière, comme dans le cas des petits États insulaires en développement (PEID).</w:t>
      </w:r>
    </w:p>
    <w:p w14:paraId="57F6DCCD" w14:textId="77777777" w:rsidR="00EB3E2B" w:rsidRPr="00733F83" w:rsidRDefault="00EB3E2B" w:rsidP="00EB3E2B">
      <w:pPr>
        <w:spacing w:before="240" w:after="240"/>
      </w:pPr>
      <w:r w:rsidRPr="00733F83">
        <w:rPr>
          <w:b/>
        </w:rPr>
        <w:t xml:space="preserve">Souligner </w:t>
      </w:r>
      <w:r w:rsidRPr="00733F83">
        <w:t xml:space="preserve">les avantages de </w:t>
      </w:r>
      <w:proofErr w:type="spellStart"/>
      <w:r w:rsidRPr="00733F83">
        <w:t>l'Ocean</w:t>
      </w:r>
      <w:proofErr w:type="spellEnd"/>
      <w:r w:rsidRPr="00733F83">
        <w:t xml:space="preserve"> Teacher Global </w:t>
      </w:r>
      <w:proofErr w:type="spellStart"/>
      <w:r w:rsidRPr="00733F83">
        <w:t>Academy</w:t>
      </w:r>
      <w:proofErr w:type="spellEnd"/>
      <w:r w:rsidRPr="00733F83">
        <w:t xml:space="preserve"> (OTGA), qui contribue au développement des capacités et à la formation continue des personnes dans la région.</w:t>
      </w:r>
    </w:p>
    <w:p w14:paraId="34818D4C" w14:textId="77777777" w:rsidR="00EB3E2B" w:rsidRPr="00733F83" w:rsidRDefault="00EB3E2B" w:rsidP="00EB3E2B">
      <w:pPr>
        <w:spacing w:before="240" w:after="240"/>
      </w:pPr>
      <w:r w:rsidRPr="00733F83">
        <w:rPr>
          <w:b/>
          <w:bCs/>
        </w:rPr>
        <w:t xml:space="preserve">Notant la </w:t>
      </w:r>
      <w:r w:rsidRPr="00733F83">
        <w:t>recommandation SC-IOCARIBE-XVIII.4 sur l'IOCARIBE-GOOS.</w:t>
      </w:r>
    </w:p>
    <w:p w14:paraId="69167ADE" w14:textId="77777777" w:rsidR="00EB3E2B" w:rsidRPr="00733F83" w:rsidRDefault="00EB3E2B" w:rsidP="00EB3E2B">
      <w:pPr>
        <w:spacing w:before="240" w:after="240"/>
      </w:pPr>
      <w:proofErr w:type="gramStart"/>
      <w:r w:rsidRPr="00733F83">
        <w:rPr>
          <w:b/>
        </w:rPr>
        <w:t>exprime</w:t>
      </w:r>
      <w:proofErr w:type="gramEnd"/>
      <w:r w:rsidRPr="00733F83">
        <w:rPr>
          <w:b/>
        </w:rPr>
        <w:t xml:space="preserve"> sa </w:t>
      </w:r>
      <w:r w:rsidRPr="00733F83">
        <w:t>gratitude au comité IODE-28, qui a accueilli favorablement les demandes de :</w:t>
      </w:r>
    </w:p>
    <w:p w14:paraId="1E7483D2" w14:textId="77777777" w:rsidR="00EB3E2B" w:rsidRPr="00733F83" w:rsidRDefault="00EB3E2B" w:rsidP="00EB3E2B">
      <w:pPr>
        <w:numPr>
          <w:ilvl w:val="0"/>
          <w:numId w:val="20"/>
        </w:numPr>
        <w:spacing w:before="240" w:after="200"/>
      </w:pPr>
      <w:r w:rsidRPr="00733F83">
        <w:t>Soutenir l'intégration et l'utilisation de données et d'informations provenant de projets nationaux au sein des États membres de l'IOCARIBE, ainsi que des projets et programmes du Secrétariat, axés sur la satisfaction des besoins de la région.</w:t>
      </w:r>
    </w:p>
    <w:p w14:paraId="76F1DBB7" w14:textId="77777777" w:rsidR="00EB3E2B" w:rsidRPr="00733F83" w:rsidRDefault="00EB3E2B" w:rsidP="00EB3E2B">
      <w:pPr>
        <w:numPr>
          <w:ilvl w:val="0"/>
          <w:numId w:val="20"/>
        </w:numPr>
        <w:spacing w:after="200"/>
      </w:pPr>
      <w:r w:rsidRPr="00733F83">
        <w:t>Poursuite de la coopération au-delà d'OTGA et d'ODIS au cours de la période biennale 2026-2027, y compris le développement d'un réseau OBIS régional.</w:t>
      </w:r>
    </w:p>
    <w:p w14:paraId="3786DFCF" w14:textId="77777777" w:rsidR="00EB3E2B" w:rsidRPr="00733F83" w:rsidRDefault="00EB3E2B" w:rsidP="00EB3E2B">
      <w:pPr>
        <w:numPr>
          <w:ilvl w:val="0"/>
          <w:numId w:val="20"/>
        </w:numPr>
        <w:spacing w:before="240" w:after="200"/>
      </w:pPr>
      <w:r w:rsidRPr="00733F83">
        <w:t xml:space="preserve">Soutenir la région de l'IOCARIBE dans le développement et la mise en œuvre d'un plan pour les PEID afin de maximiser leurs avantages et leurs contributions à la gestion des données océaniques et de </w:t>
      </w:r>
      <w:proofErr w:type="gramStart"/>
      <w:r w:rsidRPr="00733F83">
        <w:t>l'information ,</w:t>
      </w:r>
      <w:proofErr w:type="gramEnd"/>
      <w:r w:rsidRPr="00733F83">
        <w:t xml:space="preserve"> en utilisant une approche de chaîne de valeur.</w:t>
      </w:r>
    </w:p>
    <w:p w14:paraId="4C44EA6E" w14:textId="77777777" w:rsidR="00EB3E2B" w:rsidRPr="00733F83" w:rsidRDefault="00EB3E2B" w:rsidP="00EB3E2B">
      <w:pPr>
        <w:spacing w:before="240" w:after="240"/>
      </w:pPr>
      <w:r w:rsidRPr="00733F83">
        <w:rPr>
          <w:b/>
        </w:rPr>
        <w:t xml:space="preserve">Invite </w:t>
      </w:r>
      <w:r w:rsidRPr="00733F83">
        <w:t>les États membres à :</w:t>
      </w:r>
    </w:p>
    <w:p w14:paraId="0AE25CD3" w14:textId="683E6331" w:rsidR="00EB3E2B" w:rsidRPr="00733F83" w:rsidRDefault="00EB3E2B" w:rsidP="00EB3E2B">
      <w:pPr>
        <w:numPr>
          <w:ilvl w:val="0"/>
          <w:numId w:val="24"/>
        </w:numPr>
        <w:spacing w:before="240" w:after="200"/>
        <w:rPr>
          <w:lang w:val="es-CO"/>
        </w:rPr>
      </w:pPr>
      <w:r w:rsidRPr="692DE06C">
        <w:rPr>
          <w:lang w:val="es-CO"/>
        </w:rPr>
        <w:t>Constituer des groupes de travail nationaux chargés d'identifier les produits et services finaux requis (par exemple, pour l'aide à la décision) et les données, informations et observations océaniques nécessaires pour les fournir.</w:t>
      </w:r>
    </w:p>
    <w:p w14:paraId="290FBC7B" w14:textId="77777777" w:rsidR="00EB3E2B" w:rsidRPr="00733F83" w:rsidRDefault="00EB3E2B" w:rsidP="00EB3E2B">
      <w:pPr>
        <w:numPr>
          <w:ilvl w:val="0"/>
          <w:numId w:val="24"/>
        </w:numPr>
        <w:spacing w:before="240" w:after="200"/>
      </w:pPr>
      <w:r w:rsidRPr="00733F83">
        <w:t>Créer des CNDO ou des UDA afin de renforcer les capacités nationales en matière de gestion des données et de l'information.</w:t>
      </w:r>
    </w:p>
    <w:p w14:paraId="5BBE8C81" w14:textId="77777777" w:rsidR="00EB3E2B" w:rsidRPr="00733F83" w:rsidRDefault="00EB3E2B" w:rsidP="00EB3E2B">
      <w:pPr>
        <w:numPr>
          <w:ilvl w:val="0"/>
          <w:numId w:val="24"/>
        </w:numPr>
        <w:spacing w:before="240" w:after="200"/>
      </w:pPr>
      <w:r w:rsidRPr="00733F83">
        <w:t>Collaborer avec OBIS et ODIS en partageant les données et informations disponibles avec ces composantes du programme.</w:t>
      </w:r>
    </w:p>
    <w:p w14:paraId="38211831" w14:textId="77777777" w:rsidR="00EB3E2B" w:rsidRPr="00733F83" w:rsidRDefault="00EB3E2B" w:rsidP="00EB3E2B">
      <w:pPr>
        <w:spacing w:before="240" w:after="240"/>
      </w:pPr>
      <w:r w:rsidRPr="00733F83">
        <w:rPr>
          <w:b/>
        </w:rPr>
        <w:t xml:space="preserve">Demande au </w:t>
      </w:r>
      <w:r w:rsidRPr="00733F83">
        <w:t>Secrétaire de l'IOCARIBE de :</w:t>
      </w:r>
    </w:p>
    <w:p w14:paraId="68A9D5C8" w14:textId="77777777" w:rsidR="00EB3E2B" w:rsidRPr="00733F83" w:rsidRDefault="00EB3E2B" w:rsidP="00EB3E2B">
      <w:pPr>
        <w:numPr>
          <w:ilvl w:val="0"/>
          <w:numId w:val="23"/>
        </w:numPr>
        <w:spacing w:before="240" w:after="200"/>
      </w:pPr>
      <w:r w:rsidRPr="00733F83">
        <w:t>Faciliter l'élaboration de cours sur l'utilisation des plateformes de données, telles que ODIS et OBIS, et aider les décideurs à utiliser les données pour l'établissement de rapports sur les accords multilatéraux sur l'environnement.</w:t>
      </w:r>
    </w:p>
    <w:p w14:paraId="567B4C85" w14:textId="77777777" w:rsidR="00EB3E2B" w:rsidRPr="00733F83" w:rsidRDefault="00EB3E2B" w:rsidP="00EB3E2B">
      <w:pPr>
        <w:numPr>
          <w:ilvl w:val="0"/>
          <w:numId w:val="23"/>
        </w:numPr>
        <w:spacing w:after="200"/>
      </w:pPr>
      <w:r w:rsidRPr="00733F83">
        <w:t xml:space="preserve">Promouvoir une plus grande interaction et un meilleur alignement dans la région </w:t>
      </w:r>
      <w:r w:rsidRPr="00733F83">
        <w:lastRenderedPageBreak/>
        <w:t>entre les activités du GOOS et de l'IODE.</w:t>
      </w:r>
    </w:p>
    <w:p w14:paraId="5333759D" w14:textId="3E33CF14" w:rsidR="00EB3E2B" w:rsidRPr="00733F83" w:rsidRDefault="00EB3E2B" w:rsidP="00EB3E2B">
      <w:pPr>
        <w:numPr>
          <w:ilvl w:val="0"/>
          <w:numId w:val="23"/>
        </w:numPr>
        <w:spacing w:before="240" w:after="200"/>
        <w:rPr>
          <w:lang w:val="es-CO"/>
        </w:rPr>
      </w:pPr>
      <w:r w:rsidRPr="692DE06C">
        <w:rPr>
          <w:lang w:val="es-CO"/>
        </w:rPr>
        <w:t>Explorer de nouvelles opportunités de collaboration internationale qui soutiennent l'incorporation des plateformes de données IODE dans la région IOCARIBE, y compris par le biais du mécanisme de coordination des océans.</w:t>
      </w:r>
    </w:p>
    <w:p w14:paraId="7833E611" w14:textId="77777777" w:rsidR="00EB3E2B" w:rsidRPr="00733F83" w:rsidRDefault="00EB3E2B" w:rsidP="00EB3E2B">
      <w:pPr>
        <w:spacing w:before="240" w:after="240"/>
      </w:pPr>
    </w:p>
    <w:p w14:paraId="7A0E18CD" w14:textId="77777777" w:rsidR="00EB3E2B" w:rsidRPr="00733F83" w:rsidRDefault="00EB3E2B" w:rsidP="00EB3E2B">
      <w:pPr>
        <w:spacing w:before="240" w:after="240"/>
      </w:pPr>
    </w:p>
    <w:p w14:paraId="09DA6FC8" w14:textId="413E7A97" w:rsidR="00EB3E2B" w:rsidRPr="006A1A38" w:rsidRDefault="00EB3E2B" w:rsidP="00EB3E2B">
      <w:pPr>
        <w:jc w:val="center"/>
        <w:rPr>
          <w:u w:val="single"/>
        </w:rPr>
      </w:pPr>
      <w:bookmarkStart w:id="13" w:name="Recommendation_10"/>
      <w:bookmarkEnd w:id="13"/>
      <w:r w:rsidRPr="006A1A38">
        <w:rPr>
          <w:u w:val="single"/>
        </w:rPr>
        <w:t>Recommandation SC-IOCARIBE-XVIII.10</w:t>
      </w:r>
    </w:p>
    <w:p w14:paraId="1BFEF026" w14:textId="77777777" w:rsidR="00EB3E2B" w:rsidRPr="00733F83" w:rsidRDefault="00EB3E2B" w:rsidP="00EB3E2B"/>
    <w:p w14:paraId="1E4FA6E4" w14:textId="77777777" w:rsidR="00EB3E2B" w:rsidRPr="00733F83" w:rsidRDefault="00EB3E2B" w:rsidP="00EB3E2B">
      <w:pPr>
        <w:jc w:val="center"/>
      </w:pPr>
      <w:r w:rsidRPr="00733F83">
        <w:rPr>
          <w:b/>
        </w:rPr>
        <w:t xml:space="preserve">Groupe de travail </w:t>
      </w:r>
      <w:proofErr w:type="spellStart"/>
      <w:r w:rsidRPr="00733F83">
        <w:rPr>
          <w:b/>
        </w:rPr>
        <w:t>Sargassum</w:t>
      </w:r>
      <w:proofErr w:type="spellEnd"/>
    </w:p>
    <w:p w14:paraId="70C23E6F" w14:textId="77777777" w:rsidR="00EB3E2B" w:rsidRPr="00733F83" w:rsidRDefault="00EB3E2B" w:rsidP="00EB3E2B">
      <w:pPr>
        <w:jc w:val="center"/>
      </w:pPr>
    </w:p>
    <w:p w14:paraId="66E21EB5" w14:textId="341E0255" w:rsidR="00EB3E2B" w:rsidRPr="00733F83" w:rsidRDefault="00EB3E2B" w:rsidP="00EB3E2B">
      <w:r w:rsidRPr="692DE06C">
        <w:rPr>
          <w:lang w:val="es-CO"/>
        </w:rPr>
        <w:t xml:space="preserve">La </w:t>
      </w:r>
      <w:proofErr w:type="spellStart"/>
      <w:r w:rsidR="09DF8AA0" w:rsidRPr="692DE06C">
        <w:rPr>
          <w:lang w:val="es-CO"/>
        </w:rPr>
        <w:t>S</w:t>
      </w:r>
      <w:r w:rsidRPr="692DE06C">
        <w:rPr>
          <w:lang w:val="es-CO"/>
        </w:rPr>
        <w:t>ous</w:t>
      </w:r>
      <w:proofErr w:type="spellEnd"/>
      <w:r w:rsidRPr="692DE06C">
        <w:rPr>
          <w:lang w:val="es-CO"/>
        </w:rPr>
        <w:t>-</w:t>
      </w:r>
      <w:r w:rsidR="209E5E15" w:rsidRPr="692DE06C">
        <w:rPr>
          <w:lang w:val="es-CO"/>
        </w:rPr>
        <w:t>C</w:t>
      </w:r>
      <w:r w:rsidRPr="692DE06C">
        <w:rPr>
          <w:lang w:val="es-CO"/>
        </w:rPr>
        <w:t>ommission de la COI pour les Caraïbes et les régions adjacentes (IOCARIBE),</w:t>
      </w:r>
    </w:p>
    <w:p w14:paraId="0BC105A9" w14:textId="4C6346D3" w:rsidR="00EB3E2B" w:rsidRPr="00733F83" w:rsidRDefault="00EB3E2B" w:rsidP="1659A7A6">
      <w:pPr>
        <w:spacing w:before="240" w:after="240"/>
      </w:pPr>
      <w:r w:rsidRPr="00733F83">
        <w:rPr>
          <w:b/>
          <w:bCs/>
        </w:rPr>
        <w:t xml:space="preserve">Rappelant </w:t>
      </w:r>
      <w:r w:rsidRPr="00733F83">
        <w:t xml:space="preserve">la recommandation XVI.7 de la </w:t>
      </w:r>
      <w:r w:rsidR="5638634C" w:rsidRPr="00733F83">
        <w:t>S</w:t>
      </w:r>
      <w:r w:rsidRPr="00733F83">
        <w:t>ous-</w:t>
      </w:r>
      <w:r w:rsidR="0D810345" w:rsidRPr="00733F83">
        <w:t>C</w:t>
      </w:r>
      <w:r w:rsidRPr="00733F83">
        <w:t xml:space="preserve">ommission de l'IOCARIBE encourageant l'avancement de la recherche et de la collaboration sur le </w:t>
      </w:r>
      <w:proofErr w:type="spellStart"/>
      <w:r w:rsidRPr="00733F83">
        <w:t>sargassum</w:t>
      </w:r>
      <w:proofErr w:type="spellEnd"/>
      <w:r w:rsidRPr="00733F83">
        <w:t xml:space="preserve"> dans la région.</w:t>
      </w:r>
    </w:p>
    <w:p w14:paraId="0702DA32" w14:textId="77777777" w:rsidR="00EB3E2B" w:rsidRPr="00733F83" w:rsidRDefault="00EB3E2B" w:rsidP="00EB3E2B">
      <w:pPr>
        <w:spacing w:before="240" w:after="240"/>
      </w:pPr>
      <w:r w:rsidRPr="00733F83">
        <w:rPr>
          <w:b/>
        </w:rPr>
        <w:t xml:space="preserve">Reconnaître </w:t>
      </w:r>
      <w:r w:rsidRPr="00733F83">
        <w:t>les effets néfastes de l'inondation par les sargasses sur les écosystèmes et les économies de la région des Caraïbes.</w:t>
      </w:r>
    </w:p>
    <w:p w14:paraId="137973AD" w14:textId="77777777" w:rsidR="00EB3E2B" w:rsidRPr="00733F83" w:rsidRDefault="00EB3E2B" w:rsidP="00EB3E2B">
      <w:pPr>
        <w:spacing w:before="240" w:after="240"/>
      </w:pPr>
      <w:r w:rsidRPr="00733F83">
        <w:rPr>
          <w:b/>
        </w:rPr>
        <w:t xml:space="preserve">Notant </w:t>
      </w:r>
      <w:r w:rsidRPr="00733F83">
        <w:t xml:space="preserve">le développement d'approches innovantes pour suivre et prévoir l'afflux de </w:t>
      </w:r>
      <w:proofErr w:type="spellStart"/>
      <w:r w:rsidRPr="00733F83">
        <w:t>Sargassum</w:t>
      </w:r>
      <w:proofErr w:type="spellEnd"/>
      <w:r w:rsidRPr="00733F83">
        <w:t>, y compris les applications de la technologie de suivi des marées noires et de la science citoyenne sur les plages.</w:t>
      </w:r>
    </w:p>
    <w:p w14:paraId="35578093" w14:textId="77777777" w:rsidR="00EB3E2B" w:rsidRPr="00733F83" w:rsidRDefault="00EB3E2B" w:rsidP="00EB3E2B">
      <w:pPr>
        <w:spacing w:before="240" w:after="240"/>
      </w:pPr>
      <w:r w:rsidRPr="00733F83">
        <w:rPr>
          <w:b/>
        </w:rPr>
        <w:t xml:space="preserve">Prenant acte du </w:t>
      </w:r>
      <w:r w:rsidRPr="00733F83">
        <w:t xml:space="preserve">rapport du groupe de travail de l'IOCARIBE sur les sargasses concernant les travaux réalisés au cours de l'exercice biennal actuel et les plans pour l'exercice biennal 2026-2027 en collaboration avec le </w:t>
      </w:r>
      <w:r w:rsidR="00711A49" w:rsidRPr="00733F83">
        <w:t>GEO Planète bleue</w:t>
      </w:r>
      <w:r w:rsidRPr="00733F83">
        <w:t>.</w:t>
      </w:r>
    </w:p>
    <w:p w14:paraId="78EC613D" w14:textId="77777777" w:rsidR="00EB3E2B" w:rsidRPr="00733F83" w:rsidRDefault="00EB3E2B" w:rsidP="00EB3E2B">
      <w:pPr>
        <w:spacing w:before="240" w:after="240"/>
      </w:pPr>
      <w:r w:rsidRPr="00733F83">
        <w:rPr>
          <w:b/>
        </w:rPr>
        <w:t xml:space="preserve">Demande au </w:t>
      </w:r>
      <w:r w:rsidRPr="00733F83">
        <w:t>Secrétaire de l'IOCARIBE de :</w:t>
      </w:r>
    </w:p>
    <w:p w14:paraId="1F5B5933" w14:textId="77777777" w:rsidR="00EB3E2B" w:rsidRPr="00733F83" w:rsidRDefault="00EB3E2B" w:rsidP="00EB3E2B">
      <w:pPr>
        <w:numPr>
          <w:ilvl w:val="0"/>
          <w:numId w:val="32"/>
        </w:numPr>
        <w:spacing w:before="240" w:after="200"/>
      </w:pPr>
      <w:r w:rsidRPr="00733F83">
        <w:t xml:space="preserve">Conclure un accord de coopération avec </w:t>
      </w:r>
      <w:r w:rsidR="00711A49" w:rsidRPr="00733F83">
        <w:t xml:space="preserve">GEO Blue Planet </w:t>
      </w:r>
      <w:r w:rsidRPr="00733F83">
        <w:t>afin de soutenir et d'orienter conjointement la poursuite des travaux du groupe de travail régional de l'IOCARIBE sur les sargasses.</w:t>
      </w:r>
    </w:p>
    <w:p w14:paraId="0E79ACB5" w14:textId="4508FB9A" w:rsidR="00EB3E2B" w:rsidRPr="00733F83" w:rsidRDefault="00EB3E2B" w:rsidP="00EB3E2B">
      <w:pPr>
        <w:numPr>
          <w:ilvl w:val="0"/>
          <w:numId w:val="32"/>
        </w:numPr>
        <w:spacing w:before="240" w:after="200"/>
        <w:rPr>
          <w:lang w:val="es-CO"/>
        </w:rPr>
      </w:pPr>
      <w:r w:rsidRPr="692DE06C">
        <w:rPr>
          <w:lang w:val="es-CO"/>
        </w:rPr>
        <w:t>Rechercher des possibilités de collaboration avec d'autres groupes de travail de la région axés sur les sargasses.</w:t>
      </w:r>
    </w:p>
    <w:p w14:paraId="6CE3518D" w14:textId="77777777" w:rsidR="00EB3E2B" w:rsidRPr="00733F83" w:rsidRDefault="00EB3E2B" w:rsidP="00EB3E2B">
      <w:pPr>
        <w:spacing w:before="240" w:after="240"/>
      </w:pPr>
    </w:p>
    <w:p w14:paraId="67BC7818" w14:textId="77777777" w:rsidR="00EB3E2B" w:rsidRPr="00733F83" w:rsidRDefault="00EB3E2B" w:rsidP="00EB3E2B">
      <w:pPr>
        <w:jc w:val="center"/>
        <w:rPr>
          <w:u w:val="single"/>
        </w:rPr>
      </w:pPr>
      <w:bookmarkStart w:id="14" w:name="Recommendation_11"/>
      <w:bookmarkEnd w:id="14"/>
      <w:r w:rsidRPr="00733F83">
        <w:rPr>
          <w:u w:val="single"/>
        </w:rPr>
        <w:t>Recommandation SC-IOCARIBE-XVIII.11</w:t>
      </w:r>
    </w:p>
    <w:p w14:paraId="445823E2" w14:textId="77777777" w:rsidR="00EB3E2B" w:rsidRPr="00733F83" w:rsidRDefault="00EB3E2B" w:rsidP="00EB3E2B"/>
    <w:p w14:paraId="046575EA" w14:textId="77777777" w:rsidR="00EB3E2B" w:rsidRPr="00733F83" w:rsidRDefault="00EB3E2B" w:rsidP="00EB3E2B">
      <w:pPr>
        <w:jc w:val="center"/>
      </w:pPr>
      <w:r w:rsidRPr="00733F83">
        <w:rPr>
          <w:b/>
        </w:rPr>
        <w:t>Acidification des océans</w:t>
      </w:r>
    </w:p>
    <w:p w14:paraId="43693932" w14:textId="77777777" w:rsidR="00EB3E2B" w:rsidRPr="00733F83" w:rsidRDefault="00EB3E2B" w:rsidP="00EB3E2B">
      <w:pPr>
        <w:jc w:val="center"/>
      </w:pPr>
    </w:p>
    <w:p w14:paraId="36C40CEE" w14:textId="116F9031" w:rsidR="00EB3E2B" w:rsidRPr="00733F83" w:rsidRDefault="00EB3E2B" w:rsidP="00EB3E2B">
      <w:r w:rsidRPr="00733F83">
        <w:t xml:space="preserve">La </w:t>
      </w:r>
      <w:r w:rsidR="20141C60" w:rsidRPr="00733F83">
        <w:t>S</w:t>
      </w:r>
      <w:r w:rsidRPr="00733F83">
        <w:t>ous-</w:t>
      </w:r>
      <w:r w:rsidR="6D58F945" w:rsidRPr="00733F83">
        <w:t>C</w:t>
      </w:r>
      <w:r w:rsidRPr="00733F83">
        <w:t>ommission de la COI pour les Caraïbes et les régions adjacentes (IOCARIBE),</w:t>
      </w:r>
    </w:p>
    <w:p w14:paraId="1A30D12B" w14:textId="77777777" w:rsidR="00EB3E2B" w:rsidRPr="00733F83" w:rsidRDefault="00EB3E2B" w:rsidP="00EB3E2B"/>
    <w:p w14:paraId="5DD515C4" w14:textId="6A4274F2" w:rsidR="00EB3E2B" w:rsidRPr="00733F83" w:rsidRDefault="00EB3E2B" w:rsidP="1659A7A6">
      <w:pPr>
        <w:rPr>
          <w:b/>
          <w:bCs/>
        </w:rPr>
      </w:pPr>
      <w:r w:rsidRPr="00733F83">
        <w:rPr>
          <w:b/>
          <w:bCs/>
        </w:rPr>
        <w:t xml:space="preserve">Rappelant </w:t>
      </w:r>
      <w:r w:rsidRPr="00733F83">
        <w:t xml:space="preserve">la recommandation XVI.4 de la </w:t>
      </w:r>
      <w:r w:rsidR="58EDD914" w:rsidRPr="00733F83">
        <w:t>S</w:t>
      </w:r>
      <w:r w:rsidRPr="00733F83">
        <w:t>ous-</w:t>
      </w:r>
      <w:r w:rsidR="7F2166BB" w:rsidRPr="00733F83">
        <w:t>C</w:t>
      </w:r>
      <w:r w:rsidRPr="00733F83">
        <w:t>ommission de l'IOCARIBE encourageant la poursuite des travaux sur l'acidification des océans dans la région.</w:t>
      </w:r>
    </w:p>
    <w:p w14:paraId="52B0F46B" w14:textId="77777777" w:rsidR="00EB3E2B" w:rsidRPr="00733F83" w:rsidRDefault="00EB3E2B" w:rsidP="00EB3E2B">
      <w:pPr>
        <w:rPr>
          <w:b/>
        </w:rPr>
      </w:pPr>
    </w:p>
    <w:p w14:paraId="699D7C25" w14:textId="77777777" w:rsidR="00EB3E2B" w:rsidRPr="00733F83" w:rsidRDefault="00EB3E2B" w:rsidP="00EB3E2B">
      <w:r w:rsidRPr="00733F83">
        <w:rPr>
          <w:b/>
        </w:rPr>
        <w:t xml:space="preserve">Reconnaissant le </w:t>
      </w:r>
      <w:r w:rsidRPr="00733F83">
        <w:t>travail du Réseau mondial d'observation de l'acidification des océans (GOA-ON) qui comprend 14 scientifiques des États membres de l'IOCARIBE.</w:t>
      </w:r>
    </w:p>
    <w:p w14:paraId="59B07806" w14:textId="77777777" w:rsidR="00EB3E2B" w:rsidRPr="00733F83" w:rsidRDefault="00EB3E2B" w:rsidP="00EB3E2B"/>
    <w:p w14:paraId="61F95D30" w14:textId="77777777" w:rsidR="00EB3E2B" w:rsidRPr="00733F83" w:rsidRDefault="00EB3E2B" w:rsidP="00EB3E2B">
      <w:r w:rsidRPr="00733F83">
        <w:rPr>
          <w:b/>
        </w:rPr>
        <w:t xml:space="preserve">Reconnaissant en outre la </w:t>
      </w:r>
      <w:r w:rsidRPr="00733F83">
        <w:t>création d'un pôle caribéen de GOA-ON en 2023 avec la participation de 28 membres de 16 pays.</w:t>
      </w:r>
    </w:p>
    <w:p w14:paraId="3678E091" w14:textId="77777777" w:rsidR="00EB3E2B" w:rsidRPr="00733F83" w:rsidRDefault="00EB3E2B" w:rsidP="00EB3E2B"/>
    <w:p w14:paraId="564BE441" w14:textId="77777777" w:rsidR="00EB3E2B" w:rsidRPr="00733F83" w:rsidRDefault="00EB3E2B" w:rsidP="00EB3E2B">
      <w:r w:rsidRPr="00733F83">
        <w:rPr>
          <w:b/>
        </w:rPr>
        <w:lastRenderedPageBreak/>
        <w:t xml:space="preserve">Reconnaissant </w:t>
      </w:r>
      <w:r w:rsidRPr="00733F83">
        <w:t>les progrès du projet REMARCO dans la prise en compte des limites de la capacité à répondre aux multiples facteurs de stress sur l'océan.</w:t>
      </w:r>
    </w:p>
    <w:p w14:paraId="388079B1" w14:textId="77777777" w:rsidR="00EB3E2B" w:rsidRPr="00733F83" w:rsidRDefault="00EB3E2B" w:rsidP="00EB3E2B"/>
    <w:p w14:paraId="33C93A3E" w14:textId="77777777" w:rsidR="00EB3E2B" w:rsidRPr="00733F83" w:rsidRDefault="00EB3E2B" w:rsidP="00EB3E2B">
      <w:r w:rsidRPr="00733F83">
        <w:rPr>
          <w:b/>
        </w:rPr>
        <w:t xml:space="preserve">Notant </w:t>
      </w:r>
      <w:r w:rsidRPr="00733F83">
        <w:t>les ressources limitées dont disposent les États membres pour fournir des données nationales afin de rendre compte de la cible 14.3.1 de l'objectif de développement durable en réponse à l'acidification des océans.</w:t>
      </w:r>
    </w:p>
    <w:p w14:paraId="49CC262D" w14:textId="77777777" w:rsidR="00EB3E2B" w:rsidRPr="00733F83" w:rsidRDefault="00EB3E2B" w:rsidP="00EB3E2B">
      <w:pPr>
        <w:spacing w:before="240" w:after="240"/>
      </w:pPr>
      <w:r w:rsidRPr="00733F83">
        <w:rPr>
          <w:b/>
        </w:rPr>
        <w:t xml:space="preserve">Demande au </w:t>
      </w:r>
      <w:r w:rsidRPr="00733F83">
        <w:t>Secrétaire de l'IOCARIBE de :</w:t>
      </w:r>
    </w:p>
    <w:p w14:paraId="37E17B64" w14:textId="77777777" w:rsidR="00EB3E2B" w:rsidRPr="00733F83" w:rsidRDefault="00EB3E2B" w:rsidP="00EB3E2B">
      <w:pPr>
        <w:numPr>
          <w:ilvl w:val="0"/>
          <w:numId w:val="17"/>
        </w:numPr>
        <w:spacing w:before="200"/>
      </w:pPr>
      <w:r w:rsidRPr="00733F83">
        <w:t>Renforcer les connexions régionales avec la communauté GOA-ON afin de soutenir les nouvelles adhésions des États membres et des partenaires de l'IOCARIBE.</w:t>
      </w:r>
    </w:p>
    <w:p w14:paraId="60478C82" w14:textId="77777777" w:rsidR="00EB3E2B" w:rsidRPr="00733F83" w:rsidRDefault="00EB3E2B" w:rsidP="00EB3E2B">
      <w:pPr>
        <w:numPr>
          <w:ilvl w:val="0"/>
          <w:numId w:val="17"/>
        </w:numPr>
        <w:spacing w:before="200"/>
      </w:pPr>
      <w:r w:rsidRPr="00733F83">
        <w:t>Promouvoir les cours de l'Académie mondiale Ocean Teacher sur l'acidification des océans auprès des États membres et des partenaires.</w:t>
      </w:r>
    </w:p>
    <w:p w14:paraId="33E6479F" w14:textId="77777777" w:rsidR="00EB3E2B" w:rsidRPr="00733F83" w:rsidRDefault="00EB3E2B" w:rsidP="00EB3E2B">
      <w:pPr>
        <w:numPr>
          <w:ilvl w:val="0"/>
          <w:numId w:val="17"/>
        </w:numPr>
        <w:spacing w:before="200"/>
      </w:pPr>
      <w:r w:rsidRPr="00733F83">
        <w:t>Conclure un accord de coopération avec l'Agence internationale de l'énergie atomique (AIEA) afin de faciliter les processus visant à améliorer le partage des données et le soutien à la maintenance des équipements de recherche marine.</w:t>
      </w:r>
    </w:p>
    <w:p w14:paraId="245663EC" w14:textId="77777777" w:rsidR="00EB3E2B" w:rsidRPr="00733F83" w:rsidRDefault="00EB3E2B" w:rsidP="00EB3E2B">
      <w:pPr>
        <w:numPr>
          <w:ilvl w:val="0"/>
          <w:numId w:val="17"/>
        </w:numPr>
        <w:spacing w:before="200"/>
      </w:pPr>
      <w:r w:rsidRPr="00733F83">
        <w:t>Étendre les projets pertinents de l'AIEA à d'autres États membres de l'IOCARIBE intéressés qui ne sont pas encore impliqués, dans le but de renforcer les capacités nationales.</w:t>
      </w:r>
    </w:p>
    <w:p w14:paraId="21442150" w14:textId="77777777" w:rsidR="00EB3E2B" w:rsidRPr="00733F83" w:rsidRDefault="00EB3E2B" w:rsidP="00EB3E2B"/>
    <w:p w14:paraId="4DBEC5F7" w14:textId="77777777" w:rsidR="00EB3E2B" w:rsidRPr="00733F83" w:rsidRDefault="00EB3E2B" w:rsidP="00EB3E2B">
      <w:proofErr w:type="gramStart"/>
      <w:r w:rsidRPr="00733F83">
        <w:rPr>
          <w:b/>
        </w:rPr>
        <w:t>encourage</w:t>
      </w:r>
      <w:proofErr w:type="gramEnd"/>
      <w:r w:rsidRPr="00733F83">
        <w:rPr>
          <w:b/>
        </w:rPr>
        <w:t xml:space="preserve"> les </w:t>
      </w:r>
      <w:r w:rsidRPr="00733F83">
        <w:t>États membres, en particulier ceux qui ont reçu des équipements et des formations de l'AIEA, à soumettre des rapports de suivi au portail SDG 14.3.1.</w:t>
      </w:r>
    </w:p>
    <w:p w14:paraId="2ABD6EA5" w14:textId="77777777" w:rsidR="00EB3E2B" w:rsidRPr="00733F83" w:rsidRDefault="00EB3E2B" w:rsidP="00EB3E2B"/>
    <w:p w14:paraId="404A8895" w14:textId="77777777" w:rsidR="00EB3E2B" w:rsidRPr="00733F83" w:rsidRDefault="00EB3E2B" w:rsidP="00EB3E2B">
      <w:pPr>
        <w:spacing w:before="240" w:after="240"/>
      </w:pPr>
    </w:p>
    <w:p w14:paraId="06669167" w14:textId="77777777" w:rsidR="00EB3E2B" w:rsidRPr="00733F83" w:rsidRDefault="00EB3E2B" w:rsidP="00EB3E2B">
      <w:pPr>
        <w:jc w:val="center"/>
        <w:rPr>
          <w:u w:val="single"/>
        </w:rPr>
      </w:pPr>
      <w:bookmarkStart w:id="15" w:name="Recommendation_12"/>
      <w:bookmarkEnd w:id="15"/>
      <w:r w:rsidRPr="00733F83">
        <w:rPr>
          <w:u w:val="single"/>
        </w:rPr>
        <w:t>Recommandation SC-IOCARIBE-XVIII.12</w:t>
      </w:r>
    </w:p>
    <w:p w14:paraId="27E4C4A8" w14:textId="77777777" w:rsidR="00EB3E2B" w:rsidRPr="00733F83" w:rsidRDefault="00EB3E2B" w:rsidP="00EB3E2B"/>
    <w:p w14:paraId="0E592944" w14:textId="77777777" w:rsidR="00EB3E2B" w:rsidRPr="00733F83" w:rsidRDefault="00EB3E2B" w:rsidP="00EB3E2B">
      <w:pPr>
        <w:jc w:val="center"/>
      </w:pPr>
      <w:r w:rsidRPr="00733F83">
        <w:rPr>
          <w:b/>
        </w:rPr>
        <w:t>Contacts nationaux</w:t>
      </w:r>
    </w:p>
    <w:p w14:paraId="0D90CD14" w14:textId="77777777" w:rsidR="00EB3E2B" w:rsidRPr="00733F83" w:rsidRDefault="00EB3E2B" w:rsidP="00EB3E2B">
      <w:pPr>
        <w:jc w:val="center"/>
      </w:pPr>
    </w:p>
    <w:p w14:paraId="071834A9" w14:textId="50B5D40F" w:rsidR="00EB3E2B" w:rsidRPr="00733F83" w:rsidRDefault="00EB3E2B" w:rsidP="00EB3E2B">
      <w:r w:rsidRPr="00733F83">
        <w:t xml:space="preserve">La </w:t>
      </w:r>
      <w:r w:rsidR="4B9F5CA6" w:rsidRPr="00733F83">
        <w:t>S</w:t>
      </w:r>
      <w:r w:rsidRPr="00733F83">
        <w:t>ous-</w:t>
      </w:r>
      <w:r w:rsidR="0A7AC3AD" w:rsidRPr="00733F83">
        <w:t>C</w:t>
      </w:r>
      <w:r w:rsidRPr="00733F83">
        <w:t>ommission de la COI pour les Caraïbes et les régions adjacentes (IOCARIBE),</w:t>
      </w:r>
    </w:p>
    <w:p w14:paraId="46A8FA4E" w14:textId="77777777" w:rsidR="00EB3E2B" w:rsidRPr="00733F83" w:rsidRDefault="00EB3E2B" w:rsidP="00EB3E2B"/>
    <w:p w14:paraId="5B97640B" w14:textId="77777777" w:rsidR="00EB3E2B" w:rsidRPr="00733F83" w:rsidRDefault="00EB3E2B" w:rsidP="00EB3E2B">
      <w:r w:rsidRPr="00733F83">
        <w:rPr>
          <w:b/>
        </w:rPr>
        <w:t>Reconnaissant l'</w:t>
      </w:r>
      <w:r w:rsidRPr="00733F83">
        <w:t>importance d'une communication efficace entre le Secrétariat de l'IOCARIBE, la COI-UNESCO, l'UNESCO et les États membres.</w:t>
      </w:r>
    </w:p>
    <w:p w14:paraId="59E5CE70" w14:textId="77777777" w:rsidR="00EB3E2B" w:rsidRPr="00733F83" w:rsidRDefault="00EB3E2B" w:rsidP="00EB3E2B"/>
    <w:p w14:paraId="602D93B9" w14:textId="77777777" w:rsidR="00EB3E2B" w:rsidRPr="00733F83" w:rsidRDefault="00EB3E2B" w:rsidP="00EB3E2B">
      <w:r w:rsidRPr="00733F83">
        <w:rPr>
          <w:b/>
        </w:rPr>
        <w:t xml:space="preserve">Reconnaissant </w:t>
      </w:r>
      <w:r w:rsidRPr="00733F83">
        <w:t>les efforts déployés par le Secrétariat de l'IOCARIBE pour maintenir un contact direct avec les points focaux nationaux et pour demander régulièrement aux États membres des informations de contact actualisées.</w:t>
      </w:r>
    </w:p>
    <w:p w14:paraId="4F8915C5" w14:textId="77777777" w:rsidR="00EB3E2B" w:rsidRPr="00733F83" w:rsidRDefault="00EB3E2B" w:rsidP="00EB3E2B"/>
    <w:p w14:paraId="5915002E" w14:textId="77777777" w:rsidR="00EB3E2B" w:rsidRPr="00733F83" w:rsidRDefault="00EB3E2B" w:rsidP="00EB3E2B">
      <w:r w:rsidRPr="00733F83">
        <w:rPr>
          <w:b/>
        </w:rPr>
        <w:t xml:space="preserve">Notant </w:t>
      </w:r>
      <w:r w:rsidRPr="00733F83">
        <w:t>que l'efficacité des stratégies de communication diffère d'un pays à l'autre, certains réagissant mieux à un engagement descendant au niveau ministériel, tandis que d'autres bénéficient davantage d'une communication ascendante au niveau technique.</w:t>
      </w:r>
    </w:p>
    <w:p w14:paraId="15B4C7D8" w14:textId="77777777" w:rsidR="00EB3E2B" w:rsidRPr="00733F83" w:rsidRDefault="00EB3E2B" w:rsidP="00EB3E2B"/>
    <w:p w14:paraId="536368DB" w14:textId="77777777" w:rsidR="00EB3E2B" w:rsidRPr="00733F83" w:rsidRDefault="00EB3E2B" w:rsidP="00EB3E2B">
      <w:r w:rsidRPr="00733F83">
        <w:rPr>
          <w:b/>
        </w:rPr>
        <w:t xml:space="preserve">Demande aux </w:t>
      </w:r>
      <w:r w:rsidRPr="00733F83">
        <w:t>États membres de mettre à jour leurs désignations et leurs coordonnées :</w:t>
      </w:r>
    </w:p>
    <w:p w14:paraId="27BA8D06" w14:textId="77777777" w:rsidR="00EB3E2B" w:rsidRPr="00733F83" w:rsidRDefault="00EB3E2B" w:rsidP="00EB3E2B">
      <w:pPr>
        <w:numPr>
          <w:ilvl w:val="0"/>
          <w:numId w:val="30"/>
        </w:numPr>
        <w:spacing w:before="200" w:after="200"/>
      </w:pPr>
      <w:r w:rsidRPr="00733F83">
        <w:t>Organes nationaux de coordination pour la liaison avec la COI-UNESCO.</w:t>
      </w:r>
    </w:p>
    <w:p w14:paraId="3AC0F57F" w14:textId="77777777" w:rsidR="00EB3E2B" w:rsidRPr="00733F83" w:rsidRDefault="00EB3E2B" w:rsidP="00EB3E2B">
      <w:pPr>
        <w:numPr>
          <w:ilvl w:val="0"/>
          <w:numId w:val="30"/>
        </w:numPr>
        <w:spacing w:after="200"/>
      </w:pPr>
      <w:r w:rsidRPr="00733F83">
        <w:t>Commissions nationales pour l'UNESCO.</w:t>
      </w:r>
    </w:p>
    <w:p w14:paraId="1796EC92" w14:textId="77777777" w:rsidR="00EB3E2B" w:rsidRPr="00733F83" w:rsidRDefault="00EB3E2B" w:rsidP="00EB3E2B">
      <w:pPr>
        <w:numPr>
          <w:ilvl w:val="0"/>
          <w:numId w:val="30"/>
        </w:numPr>
        <w:spacing w:after="200"/>
      </w:pPr>
      <w:r w:rsidRPr="00733F83">
        <w:t>Délégations permanentes auprès de l'UNESCO.</w:t>
      </w:r>
    </w:p>
    <w:p w14:paraId="13FE51F1" w14:textId="77777777" w:rsidR="00EB3E2B" w:rsidRPr="00733F83" w:rsidRDefault="00EB3E2B" w:rsidP="00EB3E2B"/>
    <w:p w14:paraId="1E9A472C" w14:textId="77777777" w:rsidR="00EB3E2B" w:rsidRPr="00733F83" w:rsidRDefault="00EB3E2B" w:rsidP="00EB3E2B"/>
    <w:p w14:paraId="1FA91470" w14:textId="77777777" w:rsidR="00EB3E2B" w:rsidRPr="00733F83" w:rsidRDefault="00EB3E2B" w:rsidP="00EB3E2B">
      <w:pPr>
        <w:spacing w:before="240" w:after="240"/>
        <w:jc w:val="center"/>
      </w:pPr>
      <w:bookmarkStart w:id="16" w:name="Recommendation_13"/>
      <w:bookmarkEnd w:id="16"/>
      <w:r w:rsidRPr="00733F83">
        <w:rPr>
          <w:u w:val="single"/>
        </w:rPr>
        <w:t>Recommandation SC-IOCARIBE-XVIII.13</w:t>
      </w:r>
    </w:p>
    <w:p w14:paraId="3481E208" w14:textId="77777777" w:rsidR="00EB3E2B" w:rsidRPr="00733F83" w:rsidRDefault="00EB3E2B" w:rsidP="00EB3E2B">
      <w:pPr>
        <w:spacing w:before="240" w:after="240"/>
        <w:jc w:val="center"/>
      </w:pPr>
      <w:r w:rsidRPr="00733F83">
        <w:lastRenderedPageBreak/>
        <w:t>Efflorescences</w:t>
      </w:r>
      <w:r w:rsidRPr="00733F83">
        <w:rPr>
          <w:b/>
        </w:rPr>
        <w:t xml:space="preserve"> algales nuisibles </w:t>
      </w:r>
    </w:p>
    <w:p w14:paraId="75C92279" w14:textId="77E196E9" w:rsidR="00EB3E2B" w:rsidRPr="00733F83" w:rsidRDefault="00EB3E2B" w:rsidP="00EB3E2B">
      <w:pPr>
        <w:spacing w:before="240" w:after="240"/>
      </w:pPr>
      <w:r w:rsidRPr="00733F83">
        <w:t xml:space="preserve">La </w:t>
      </w:r>
      <w:r w:rsidR="5901CD52" w:rsidRPr="00733F83">
        <w:t>S</w:t>
      </w:r>
      <w:r w:rsidRPr="00733F83">
        <w:t>ous-</w:t>
      </w:r>
      <w:r w:rsidR="5213E222" w:rsidRPr="00733F83">
        <w:t>C</w:t>
      </w:r>
      <w:r w:rsidRPr="00733F83">
        <w:t>ommission de la COI pour les Caraïbes et les régions adjacentes (IOCARIBE),</w:t>
      </w:r>
    </w:p>
    <w:p w14:paraId="403C666E" w14:textId="77777777" w:rsidR="00EB3E2B" w:rsidRPr="00733F83" w:rsidRDefault="00EB3E2B" w:rsidP="00EB3E2B">
      <w:pPr>
        <w:spacing w:before="240" w:after="240"/>
      </w:pPr>
      <w:r w:rsidRPr="00733F83">
        <w:rPr>
          <w:b/>
        </w:rPr>
        <w:t xml:space="preserve">Rappelant </w:t>
      </w:r>
      <w:r w:rsidRPr="00733F83">
        <w:t>les impacts écologiques et socio-économiques significatifs des efflorescences algales nuisibles (HAB) dans la région de l'IOCARIBE, et l'importance stratégique des systèmes coordonnés de surveillance et de réponse.</w:t>
      </w:r>
    </w:p>
    <w:p w14:paraId="68326825" w14:textId="77777777" w:rsidR="00EB3E2B" w:rsidRPr="00733F83" w:rsidRDefault="00EB3E2B" w:rsidP="00EB3E2B">
      <w:pPr>
        <w:spacing w:before="240" w:after="240"/>
      </w:pPr>
      <w:r w:rsidRPr="00733F83">
        <w:rPr>
          <w:b/>
        </w:rPr>
        <w:t xml:space="preserve">Reconnaissant </w:t>
      </w:r>
      <w:r w:rsidRPr="00733F83">
        <w:t>les progrès réalisés par le groupe de travail de l'ANCA dans l'amélioration de la collecte et de l'analyse des données relatives aux HAB et des initiatives de formation dans la région.</w:t>
      </w:r>
    </w:p>
    <w:p w14:paraId="70D239A4" w14:textId="77777777" w:rsidR="00EB3E2B" w:rsidRPr="00733F83" w:rsidRDefault="00EB3E2B" w:rsidP="00EB3E2B">
      <w:pPr>
        <w:spacing w:before="240" w:after="240"/>
      </w:pPr>
      <w:r w:rsidRPr="00733F83">
        <w:rPr>
          <w:b/>
        </w:rPr>
        <w:t xml:space="preserve">Reconnaissant </w:t>
      </w:r>
      <w:r w:rsidRPr="00733F83">
        <w:t>les contributions essentielles de la plate-forme HAEDAT de la COI et de l'UNESCO au soutien de la surveillance des HAB et du partage des données.</w:t>
      </w:r>
      <w:r w:rsidRPr="00733F83">
        <w:br/>
      </w:r>
      <w:r w:rsidRPr="00733F83">
        <w:br/>
      </w:r>
      <w:r w:rsidRPr="00733F83">
        <w:rPr>
          <w:b/>
        </w:rPr>
        <w:t xml:space="preserve">Reconnaissant également la </w:t>
      </w:r>
      <w:r w:rsidRPr="00733F83">
        <w:t>collaboration avec l'AIEA dans le cadre de projets régionaux tels que RLA 7020, RLA 7022, RLA 7026 et RLA 7028, qui renforcent les capacités régionales de surveillance des HAB et des facteurs de stress marins associés en utilisant des techniques nucléaires et isotopiques.</w:t>
      </w:r>
      <w:r w:rsidRPr="00733F83">
        <w:br/>
      </w:r>
      <w:r w:rsidRPr="00733F83">
        <w:br/>
      </w:r>
      <w:r w:rsidRPr="00733F83">
        <w:rPr>
          <w:b/>
        </w:rPr>
        <w:t xml:space="preserve">Notant </w:t>
      </w:r>
      <w:r w:rsidRPr="00733F83">
        <w:t>les difficultés persistantes identifiées dans le registre ANCA, notamment les lacunes dans les données, la sous-déclaration et les faibles taux de vérification de la ciguatera et d'autres toxines.</w:t>
      </w:r>
      <w:r w:rsidRPr="00733F83">
        <w:br/>
      </w:r>
      <w:r w:rsidRPr="00733F83">
        <w:br/>
      </w:r>
      <w:r w:rsidRPr="00733F83">
        <w:rPr>
          <w:b/>
        </w:rPr>
        <w:t xml:space="preserve">Demande au </w:t>
      </w:r>
      <w:r w:rsidRPr="00733F83">
        <w:t>Secrétaire de l'IOCARIBE de :</w:t>
      </w:r>
    </w:p>
    <w:p w14:paraId="4BFA3F7D" w14:textId="77777777" w:rsidR="00EB3E2B" w:rsidRPr="00733F83" w:rsidRDefault="00EB3E2B" w:rsidP="00EB3E2B">
      <w:pPr>
        <w:numPr>
          <w:ilvl w:val="0"/>
          <w:numId w:val="21"/>
        </w:numPr>
        <w:spacing w:before="200" w:after="440" w:line="276" w:lineRule="auto"/>
      </w:pPr>
      <w:r w:rsidRPr="00733F83">
        <w:t>Coordonner une stratégie régionale visant à améliorer la saisie des données, le géoréférencement et la vérification au sein de la plateforme HAEDAT.</w:t>
      </w:r>
    </w:p>
    <w:p w14:paraId="5A628270" w14:textId="77777777" w:rsidR="00EB3E2B" w:rsidRPr="00733F83" w:rsidRDefault="00EB3E2B" w:rsidP="00EB3E2B">
      <w:pPr>
        <w:numPr>
          <w:ilvl w:val="0"/>
          <w:numId w:val="21"/>
        </w:numPr>
        <w:spacing w:before="200" w:line="276" w:lineRule="auto"/>
      </w:pPr>
      <w:r w:rsidRPr="00733F83">
        <w:t>Organiser des formations et des ateliers régionaux (y compris des formats virtuels) axés sur la surveillance des HAB, les systèmes d'alerte précoce et l'analyse des données.</w:t>
      </w:r>
    </w:p>
    <w:p w14:paraId="1032EF56" w14:textId="77777777" w:rsidR="00EB3E2B" w:rsidRPr="00733F83" w:rsidRDefault="00EB3E2B" w:rsidP="00EB3E2B">
      <w:pPr>
        <w:numPr>
          <w:ilvl w:val="0"/>
          <w:numId w:val="21"/>
        </w:numPr>
        <w:spacing w:before="200" w:line="276" w:lineRule="auto"/>
      </w:pPr>
      <w:r w:rsidRPr="00733F83">
        <w:t>Favoriser la coopération avec l'AIEA et d'autres partenaires afin d'appliquer les techniques nucléaires à la détection et à la caractérisation des toxines des HAB.</w:t>
      </w:r>
    </w:p>
    <w:p w14:paraId="0D147842" w14:textId="77777777" w:rsidR="00EB3E2B" w:rsidRPr="00733F83" w:rsidRDefault="00EB3E2B" w:rsidP="00EB3E2B">
      <w:pPr>
        <w:numPr>
          <w:ilvl w:val="0"/>
          <w:numId w:val="21"/>
        </w:numPr>
        <w:spacing w:before="200" w:after="440" w:line="276" w:lineRule="auto"/>
      </w:pPr>
      <w:r w:rsidRPr="00733F83">
        <w:t>Sensibiliser la région aux impacts socio-économiques de la ciguatera et des toxines en aérosol, en particulier dans le secteur du tourisme.</w:t>
      </w:r>
    </w:p>
    <w:p w14:paraId="6556306D" w14:textId="77777777" w:rsidR="00EB3E2B" w:rsidRPr="00733F83" w:rsidRDefault="00EB3E2B" w:rsidP="00EB3E2B">
      <w:pPr>
        <w:spacing w:before="240" w:after="240"/>
      </w:pPr>
      <w:r w:rsidRPr="00733F83">
        <w:rPr>
          <w:b/>
        </w:rPr>
        <w:t xml:space="preserve">Encourage les </w:t>
      </w:r>
      <w:r w:rsidRPr="00733F83">
        <w:t>États membres à :</w:t>
      </w:r>
    </w:p>
    <w:p w14:paraId="368CA522" w14:textId="77777777" w:rsidR="00EB3E2B" w:rsidRPr="00733F83" w:rsidRDefault="00EB3E2B" w:rsidP="00EB3E2B">
      <w:pPr>
        <w:numPr>
          <w:ilvl w:val="0"/>
          <w:numId w:val="33"/>
        </w:numPr>
        <w:spacing w:before="200" w:after="440" w:line="276" w:lineRule="auto"/>
      </w:pPr>
      <w:r w:rsidRPr="00733F83">
        <w:t>Désigner ou réaffirmer les points focaux nationaux de l'ANCA et faciliter l'envoi régulier de rapports nationaux à la plateforme HAEDAT.</w:t>
      </w:r>
    </w:p>
    <w:p w14:paraId="4CA7D388" w14:textId="77777777" w:rsidR="00EB3E2B" w:rsidRPr="00733F83" w:rsidRDefault="00EB3E2B" w:rsidP="00EB3E2B">
      <w:pPr>
        <w:numPr>
          <w:ilvl w:val="0"/>
          <w:numId w:val="33"/>
        </w:numPr>
        <w:spacing w:before="200" w:line="276" w:lineRule="auto"/>
      </w:pPr>
      <w:r w:rsidRPr="00733F83">
        <w:t>Participer activement à la formation régionale et contribuer à la recherche collaborative sur les HAB et leurs syndromes associés.</w:t>
      </w:r>
    </w:p>
    <w:p w14:paraId="5D6ADB80" w14:textId="77777777" w:rsidR="00EB3E2B" w:rsidRPr="00733F83" w:rsidRDefault="00EB3E2B" w:rsidP="00EB3E2B">
      <w:pPr>
        <w:numPr>
          <w:ilvl w:val="0"/>
          <w:numId w:val="33"/>
        </w:numPr>
        <w:spacing w:before="200" w:after="440" w:line="276" w:lineRule="auto"/>
      </w:pPr>
      <w:r w:rsidRPr="00733F83">
        <w:t>Promouvoir la collaboration intersectorielle entre les autorités chargées de l'environnement, de la santé et du tourisme afin d'atténuer les risques liés aux biotoxines marines.</w:t>
      </w:r>
    </w:p>
    <w:p w14:paraId="6773A832" w14:textId="2A9F210F" w:rsidR="00EB3E2B" w:rsidRPr="00733F83" w:rsidRDefault="00EB3E2B" w:rsidP="00EB3E2B">
      <w:pPr>
        <w:spacing w:before="240" w:after="240"/>
        <w:rPr>
          <w:lang w:val="es-CO"/>
        </w:rPr>
      </w:pPr>
      <w:r w:rsidRPr="692DE06C">
        <w:rPr>
          <w:b/>
          <w:lang w:val="es-CO"/>
        </w:rPr>
        <w:t>Soutien à l'</w:t>
      </w:r>
      <w:r w:rsidRPr="692DE06C">
        <w:rPr>
          <w:lang w:val="es-CO"/>
        </w:rPr>
        <w:t xml:space="preserve">expansion continue du réseau ANCA et au renforcement des systèmes </w:t>
      </w:r>
      <w:r w:rsidRPr="692DE06C">
        <w:rPr>
          <w:lang w:val="es-CO"/>
        </w:rPr>
        <w:lastRenderedPageBreak/>
        <w:t>régionaux d'alerte précoce sur les HAB par le biais de partenariats et d'échanges de connaissances.</w:t>
      </w:r>
    </w:p>
    <w:p w14:paraId="5B08792D" w14:textId="77777777" w:rsidR="00EB3E2B" w:rsidRPr="00733F83" w:rsidRDefault="00EB3E2B" w:rsidP="00EB3E2B">
      <w:pPr>
        <w:spacing w:before="240" w:after="240"/>
      </w:pPr>
      <w:r w:rsidRPr="00733F83">
        <w:t xml:space="preserve"> </w:t>
      </w:r>
    </w:p>
    <w:p w14:paraId="6F1DAC94" w14:textId="77777777" w:rsidR="00EB3E2B" w:rsidRPr="00733F83" w:rsidRDefault="00EB3E2B" w:rsidP="00EB3E2B">
      <w:pPr>
        <w:spacing w:before="240" w:after="240"/>
      </w:pPr>
    </w:p>
    <w:p w14:paraId="6072A5EC" w14:textId="77777777" w:rsidR="00EB3E2B" w:rsidRPr="00733F83" w:rsidRDefault="00EB3E2B" w:rsidP="00EB3E2B">
      <w:pPr>
        <w:shd w:val="clear" w:color="auto" w:fill="FFFFFF"/>
        <w:jc w:val="center"/>
        <w:rPr>
          <w:u w:val="single"/>
        </w:rPr>
      </w:pPr>
      <w:bookmarkStart w:id="17" w:name="Recommendation_14"/>
      <w:bookmarkEnd w:id="17"/>
      <w:r w:rsidRPr="00733F83">
        <w:rPr>
          <w:u w:val="single"/>
        </w:rPr>
        <w:t xml:space="preserve">Recommandation SC-IOCARIBE-XVIII.14 </w:t>
      </w:r>
    </w:p>
    <w:p w14:paraId="295427D3" w14:textId="77777777" w:rsidR="00EB3E2B" w:rsidRPr="00733F83" w:rsidRDefault="00EB3E2B" w:rsidP="00EB3E2B">
      <w:pPr>
        <w:shd w:val="clear" w:color="auto" w:fill="FFFFFF"/>
      </w:pPr>
      <w:r w:rsidRPr="00733F83">
        <w:t xml:space="preserve"> </w:t>
      </w:r>
    </w:p>
    <w:p w14:paraId="1C88A25F" w14:textId="77777777" w:rsidR="00EB3E2B" w:rsidRPr="00733F83" w:rsidRDefault="00EB3E2B" w:rsidP="00EB3E2B">
      <w:pPr>
        <w:shd w:val="clear" w:color="auto" w:fill="FFFFFF"/>
        <w:jc w:val="center"/>
        <w:rPr>
          <w:b/>
          <w:bCs/>
        </w:rPr>
      </w:pPr>
      <w:r w:rsidRPr="00733F83">
        <w:rPr>
          <w:b/>
          <w:bCs/>
        </w:rPr>
        <w:t>Alliance atlantique pour la recherche et l'innovation océaniques</w:t>
      </w:r>
    </w:p>
    <w:p w14:paraId="40C9CC63" w14:textId="2D5F27E4" w:rsidR="00EB3E2B" w:rsidRPr="00733F83" w:rsidRDefault="00EB3E2B" w:rsidP="1659A7A6">
      <w:pPr>
        <w:shd w:val="clear" w:color="auto" w:fill="FFFFFF" w:themeFill="background1"/>
        <w:spacing w:before="240" w:after="240"/>
      </w:pPr>
      <w:r w:rsidRPr="6F833DC0">
        <w:rPr>
          <w:lang w:val="es-CO"/>
        </w:rPr>
        <w:t xml:space="preserve">La </w:t>
      </w:r>
      <w:proofErr w:type="spellStart"/>
      <w:r w:rsidR="624AC14F" w:rsidRPr="6F833DC0">
        <w:rPr>
          <w:lang w:val="es-CO"/>
        </w:rPr>
        <w:t>S</w:t>
      </w:r>
      <w:r w:rsidRPr="6F833DC0">
        <w:rPr>
          <w:lang w:val="es-CO"/>
        </w:rPr>
        <w:t>ous</w:t>
      </w:r>
      <w:proofErr w:type="spellEnd"/>
      <w:r w:rsidRPr="6F833DC0">
        <w:rPr>
          <w:lang w:val="es-CO"/>
        </w:rPr>
        <w:t>-</w:t>
      </w:r>
      <w:r w:rsidR="50ADA9E7" w:rsidRPr="6F833DC0">
        <w:rPr>
          <w:lang w:val="es-CO"/>
        </w:rPr>
        <w:t>C</w:t>
      </w:r>
      <w:r w:rsidRPr="6F833DC0">
        <w:rPr>
          <w:lang w:val="es-CO"/>
        </w:rPr>
        <w:t xml:space="preserve">ommission de la COI pour les Caraïbes et les régions adjacentes (IOCARIBE), </w:t>
      </w:r>
    </w:p>
    <w:p w14:paraId="18B2BC72" w14:textId="77777777" w:rsidR="00EB3E2B" w:rsidRPr="00733F83" w:rsidRDefault="00EB3E2B" w:rsidP="6F833DC0">
      <w:pPr>
        <w:shd w:val="clear" w:color="auto" w:fill="FFFFFF" w:themeFill="background1"/>
        <w:spacing w:before="240" w:after="240"/>
        <w:rPr>
          <w:lang w:val="es-CO"/>
        </w:rPr>
      </w:pPr>
      <w:r w:rsidRPr="6F833DC0">
        <w:rPr>
          <w:b/>
          <w:lang w:val="es-CO"/>
        </w:rPr>
        <w:t xml:space="preserve">Prenant acte de </w:t>
      </w:r>
      <w:r w:rsidRPr="6F833DC0">
        <w:rPr>
          <w:lang w:val="es-CO"/>
        </w:rPr>
        <w:t>la signature de la déclaration de l'Alliance atlantique pour la recherche et l'innovation océaniques, la "DÉCLARATION ALL-ATLANTIC", qui établit l'Alliance atlantique pour la recherche et l'innovation océaniques (AAORIA).</w:t>
      </w:r>
    </w:p>
    <w:p w14:paraId="1BF42A06" w14:textId="77777777" w:rsidR="00EB3E2B" w:rsidRPr="00733F83" w:rsidRDefault="00EB3E2B" w:rsidP="6F833DC0">
      <w:pPr>
        <w:shd w:val="clear" w:color="auto" w:fill="FFFFFF" w:themeFill="background1"/>
        <w:spacing w:before="240" w:after="240"/>
        <w:rPr>
          <w:lang w:val="es-CO"/>
        </w:rPr>
      </w:pPr>
      <w:r w:rsidRPr="6F833DC0">
        <w:rPr>
          <w:b/>
          <w:lang w:val="es-CO"/>
        </w:rPr>
        <w:t xml:space="preserve">Se félicitant </w:t>
      </w:r>
      <w:r w:rsidRPr="6F833DC0">
        <w:rPr>
          <w:lang w:val="es-CO"/>
        </w:rPr>
        <w:t>du statut de la COI-UNESCO en tant que soutien de l'Alliance.</w:t>
      </w:r>
    </w:p>
    <w:p w14:paraId="00FCDC09" w14:textId="77777777" w:rsidR="00EB3E2B" w:rsidRPr="00733F83" w:rsidRDefault="00EB3E2B" w:rsidP="6F833DC0">
      <w:pPr>
        <w:shd w:val="clear" w:color="auto" w:fill="FFFFFF" w:themeFill="background1"/>
        <w:spacing w:before="240" w:after="240"/>
        <w:rPr>
          <w:lang w:val="es-CO"/>
        </w:rPr>
      </w:pPr>
      <w:r w:rsidRPr="6F833DC0">
        <w:rPr>
          <w:b/>
          <w:lang w:val="es-CO"/>
        </w:rPr>
        <w:t xml:space="preserve">Reconnaissant </w:t>
      </w:r>
      <w:r w:rsidRPr="6F833DC0">
        <w:rPr>
          <w:lang w:val="es-CO"/>
        </w:rPr>
        <w:t>l'importance de la collaboration dans l'Atlantique au sens large pour le travail effectué par l'IOCARIBE.</w:t>
      </w:r>
    </w:p>
    <w:p w14:paraId="7F91ED0E" w14:textId="77777777" w:rsidR="00EB3E2B" w:rsidRPr="00733F83" w:rsidRDefault="00EB3E2B" w:rsidP="6F833DC0">
      <w:pPr>
        <w:shd w:val="clear" w:color="auto" w:fill="FFFFFF" w:themeFill="background1"/>
        <w:spacing w:before="240" w:after="240"/>
        <w:rPr>
          <w:lang w:val="es-CO"/>
        </w:rPr>
      </w:pPr>
      <w:r w:rsidRPr="6F833DC0">
        <w:rPr>
          <w:b/>
          <w:lang w:val="es-CO"/>
        </w:rPr>
        <w:t xml:space="preserve">Demande au </w:t>
      </w:r>
      <w:r w:rsidRPr="6F833DC0">
        <w:rPr>
          <w:lang w:val="es-CO"/>
        </w:rPr>
        <w:t>Secrétaire de l'IOCARIBE d'explorer les opportunités où les activités de l'IOCARIBE pourraient bénéficier d'une coopération atlantique plus large en s'engageant avec l'AAORIA.</w:t>
      </w:r>
    </w:p>
    <w:p w14:paraId="1C401D3D" w14:textId="77777777" w:rsidR="00EB3E2B" w:rsidRPr="00733F83" w:rsidRDefault="00EB3E2B" w:rsidP="00EB3E2B">
      <w:pPr>
        <w:shd w:val="clear" w:color="auto" w:fill="FFFFFF"/>
      </w:pPr>
      <w:r w:rsidRPr="00733F83">
        <w:rPr>
          <w:b/>
          <w:bCs/>
        </w:rPr>
        <w:t xml:space="preserve">Encourage les </w:t>
      </w:r>
      <w:r w:rsidRPr="00733F83">
        <w:t>États membres de l'IOCARIBE à :</w:t>
      </w:r>
    </w:p>
    <w:p w14:paraId="62AE626F" w14:textId="77777777" w:rsidR="00EB3E2B" w:rsidRPr="00733F83" w:rsidRDefault="00EB3E2B" w:rsidP="00EB3E2B">
      <w:pPr>
        <w:numPr>
          <w:ilvl w:val="0"/>
          <w:numId w:val="22"/>
        </w:numPr>
        <w:shd w:val="clear" w:color="auto" w:fill="FFFFFF"/>
        <w:spacing w:before="200" w:line="276" w:lineRule="auto"/>
        <w:rPr>
          <w:color w:val="000000"/>
        </w:rPr>
      </w:pPr>
      <w:r w:rsidRPr="00733F83">
        <w:t xml:space="preserve">Envisager dûment d'adhérer à l'AAORIA et de participer, le cas échéant, à ses actions, avec le soutien du secrétariat de l'IOCARIBE et des États membres de l'IOCARIBE au sein de l'Alliance. </w:t>
      </w:r>
    </w:p>
    <w:p w14:paraId="57031BC8" w14:textId="77777777" w:rsidR="00EB3E2B" w:rsidRPr="00733F83" w:rsidRDefault="00EB3E2B" w:rsidP="00EB3E2B">
      <w:pPr>
        <w:numPr>
          <w:ilvl w:val="0"/>
          <w:numId w:val="22"/>
        </w:numPr>
        <w:shd w:val="clear" w:color="auto" w:fill="FFFFFF"/>
        <w:spacing w:before="200" w:line="276" w:lineRule="auto"/>
        <w:rPr>
          <w:color w:val="000000"/>
        </w:rPr>
      </w:pPr>
      <w:r w:rsidRPr="00733F83">
        <w:t xml:space="preserve">Participer au Forum </w:t>
      </w:r>
      <w:proofErr w:type="spellStart"/>
      <w:r w:rsidRPr="00733F83">
        <w:t>panatlantique</w:t>
      </w:r>
      <w:proofErr w:type="spellEnd"/>
      <w:r w:rsidRPr="00733F83">
        <w:t xml:space="preserve">. </w:t>
      </w:r>
    </w:p>
    <w:p w14:paraId="2D4DB13B" w14:textId="77777777" w:rsidR="00EB3E2B" w:rsidRPr="00733F83" w:rsidRDefault="00EB3E2B" w:rsidP="00EB3E2B">
      <w:pPr>
        <w:spacing w:before="240" w:after="240"/>
      </w:pPr>
    </w:p>
    <w:p w14:paraId="1894FBA7" w14:textId="77777777" w:rsidR="000C12A1" w:rsidRPr="00AB0D0D" w:rsidRDefault="000C12A1" w:rsidP="00D41F09">
      <w:pPr>
        <w:pBdr>
          <w:top w:val="nil"/>
          <w:left w:val="nil"/>
          <w:bottom w:val="nil"/>
          <w:right w:val="nil"/>
          <w:between w:val="nil"/>
        </w:pBdr>
        <w:spacing w:before="240" w:after="240"/>
        <w:jc w:val="both"/>
      </w:pPr>
    </w:p>
    <w:sectPr w:rsidR="000C12A1" w:rsidRPr="00AB0D0D" w:rsidSect="00991D49">
      <w:headerReference w:type="even" r:id="rId13"/>
      <w:headerReference w:type="default" r:id="rId14"/>
      <w:footerReference w:type="even" r:id="rId15"/>
      <w:footerReference w:type="default" r:id="rId16"/>
      <w:headerReference w:type="first" r:id="rId17"/>
      <w:footerReference w:type="first" r:id="rId18"/>
      <w:pgSz w:w="11910" w:h="16840"/>
      <w:pgMar w:top="709" w:right="1440" w:bottom="1440" w:left="1440" w:header="29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1B1D" w14:textId="77777777" w:rsidR="00710167" w:rsidRPr="00733F83" w:rsidRDefault="00710167">
      <w:r w:rsidRPr="00733F83">
        <w:separator/>
      </w:r>
    </w:p>
  </w:endnote>
  <w:endnote w:type="continuationSeparator" w:id="0">
    <w:p w14:paraId="50669FF9" w14:textId="77777777" w:rsidR="00710167" w:rsidRPr="00733F83" w:rsidRDefault="00710167">
      <w:r w:rsidRPr="00733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5132" w14:textId="77777777" w:rsidR="00A81A4B" w:rsidRPr="00733F83"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733F83" w14:paraId="247F283C" w14:textId="77777777">
      <w:trPr>
        <w:trHeight w:val="300"/>
      </w:trPr>
      <w:tc>
        <w:tcPr>
          <w:tcW w:w="3010" w:type="dxa"/>
        </w:tcPr>
        <w:p w14:paraId="7801ABC0" w14:textId="77777777" w:rsidR="00A81A4B" w:rsidRPr="00733F83" w:rsidRDefault="00A81A4B">
          <w:pPr>
            <w:pBdr>
              <w:top w:val="nil"/>
              <w:left w:val="nil"/>
              <w:bottom w:val="nil"/>
              <w:right w:val="nil"/>
              <w:between w:val="nil"/>
            </w:pBdr>
            <w:tabs>
              <w:tab w:val="center" w:pos="4513"/>
              <w:tab w:val="right" w:pos="9026"/>
            </w:tabs>
            <w:ind w:left="-115"/>
            <w:rPr>
              <w:color w:val="000000"/>
            </w:rPr>
          </w:pPr>
        </w:p>
      </w:tc>
      <w:tc>
        <w:tcPr>
          <w:tcW w:w="3010" w:type="dxa"/>
        </w:tcPr>
        <w:p w14:paraId="7326D49D" w14:textId="77777777" w:rsidR="00A81A4B" w:rsidRPr="00733F83"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33B79295" w14:textId="77777777" w:rsidR="00A81A4B" w:rsidRPr="00733F83" w:rsidRDefault="00A81A4B">
          <w:pPr>
            <w:pBdr>
              <w:top w:val="nil"/>
              <w:left w:val="nil"/>
              <w:bottom w:val="nil"/>
              <w:right w:val="nil"/>
              <w:between w:val="nil"/>
            </w:pBdr>
            <w:tabs>
              <w:tab w:val="center" w:pos="4513"/>
              <w:tab w:val="right" w:pos="9026"/>
            </w:tabs>
            <w:ind w:right="-115"/>
            <w:jc w:val="right"/>
            <w:rPr>
              <w:color w:val="000000"/>
            </w:rPr>
          </w:pPr>
        </w:p>
      </w:tc>
    </w:tr>
  </w:tbl>
  <w:p w14:paraId="3D3751ED" w14:textId="77777777" w:rsidR="00A81A4B" w:rsidRPr="00733F83" w:rsidRDefault="00A81A4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48DC" w14:textId="77777777" w:rsidR="00A81A4B" w:rsidRPr="00733F83"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733F83" w14:paraId="2A0FDCCA" w14:textId="77777777">
      <w:trPr>
        <w:trHeight w:val="300"/>
      </w:trPr>
      <w:tc>
        <w:tcPr>
          <w:tcW w:w="3010" w:type="dxa"/>
        </w:tcPr>
        <w:p w14:paraId="66C51CAD" w14:textId="77777777" w:rsidR="00A81A4B" w:rsidRPr="00733F83" w:rsidRDefault="00A81A4B">
          <w:pPr>
            <w:pBdr>
              <w:top w:val="nil"/>
              <w:left w:val="nil"/>
              <w:bottom w:val="nil"/>
              <w:right w:val="nil"/>
              <w:between w:val="nil"/>
            </w:pBdr>
            <w:tabs>
              <w:tab w:val="center" w:pos="4513"/>
              <w:tab w:val="right" w:pos="9026"/>
            </w:tabs>
            <w:ind w:left="-115"/>
            <w:rPr>
              <w:color w:val="000000"/>
            </w:rPr>
          </w:pPr>
        </w:p>
      </w:tc>
      <w:tc>
        <w:tcPr>
          <w:tcW w:w="3010" w:type="dxa"/>
        </w:tcPr>
        <w:p w14:paraId="32EA0352" w14:textId="77777777" w:rsidR="00A81A4B" w:rsidRPr="00733F83"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568E3EE6" w14:textId="77777777" w:rsidR="00A81A4B" w:rsidRPr="00733F83" w:rsidRDefault="00A81A4B">
          <w:pPr>
            <w:pBdr>
              <w:top w:val="nil"/>
              <w:left w:val="nil"/>
              <w:bottom w:val="nil"/>
              <w:right w:val="nil"/>
              <w:between w:val="nil"/>
            </w:pBdr>
            <w:tabs>
              <w:tab w:val="center" w:pos="4513"/>
              <w:tab w:val="right" w:pos="9026"/>
            </w:tabs>
            <w:ind w:right="-115"/>
            <w:jc w:val="right"/>
            <w:rPr>
              <w:color w:val="000000"/>
            </w:rPr>
          </w:pPr>
        </w:p>
      </w:tc>
    </w:tr>
  </w:tbl>
  <w:p w14:paraId="3D96060D" w14:textId="77777777" w:rsidR="00A81A4B" w:rsidRPr="00733F83" w:rsidRDefault="00A81A4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5E06" w14:textId="77777777" w:rsidR="00A81A4B" w:rsidRPr="00733F83" w:rsidRDefault="00A81A4B">
    <w:pPr>
      <w:pBdr>
        <w:top w:val="nil"/>
        <w:left w:val="nil"/>
        <w:bottom w:val="nil"/>
        <w:right w:val="nil"/>
        <w:between w:val="nil"/>
      </w:pBdr>
      <w:spacing w:line="276" w:lineRule="auto"/>
      <w:rPr>
        <w:color w:val="000000"/>
      </w:rPr>
    </w:pPr>
  </w:p>
  <w:tbl>
    <w:tblPr>
      <w:tblW w:w="9030" w:type="dxa"/>
      <w:tblLayout w:type="fixed"/>
      <w:tblCellMar>
        <w:left w:w="115" w:type="dxa"/>
        <w:right w:w="115" w:type="dxa"/>
      </w:tblCellMar>
      <w:tblLook w:val="0600" w:firstRow="0" w:lastRow="0" w:firstColumn="0" w:lastColumn="0" w:noHBand="1" w:noVBand="1"/>
    </w:tblPr>
    <w:tblGrid>
      <w:gridCol w:w="3010"/>
      <w:gridCol w:w="3010"/>
      <w:gridCol w:w="3010"/>
    </w:tblGrid>
    <w:tr w:rsidR="00A81A4B" w:rsidRPr="00733F83" w14:paraId="771225BB" w14:textId="77777777">
      <w:trPr>
        <w:trHeight w:val="300"/>
      </w:trPr>
      <w:tc>
        <w:tcPr>
          <w:tcW w:w="3010" w:type="dxa"/>
        </w:tcPr>
        <w:p w14:paraId="0C54E19A" w14:textId="77777777" w:rsidR="00A81A4B" w:rsidRPr="00733F83" w:rsidRDefault="00A81A4B">
          <w:pPr>
            <w:pBdr>
              <w:top w:val="nil"/>
              <w:left w:val="nil"/>
              <w:bottom w:val="nil"/>
              <w:right w:val="nil"/>
              <w:between w:val="nil"/>
            </w:pBdr>
            <w:tabs>
              <w:tab w:val="center" w:pos="4513"/>
              <w:tab w:val="right" w:pos="9026"/>
            </w:tabs>
            <w:ind w:left="-115"/>
            <w:rPr>
              <w:color w:val="000000"/>
            </w:rPr>
          </w:pPr>
        </w:p>
      </w:tc>
      <w:tc>
        <w:tcPr>
          <w:tcW w:w="3010" w:type="dxa"/>
        </w:tcPr>
        <w:p w14:paraId="2F5F871F" w14:textId="77777777" w:rsidR="00A81A4B" w:rsidRPr="00733F83" w:rsidRDefault="00A81A4B">
          <w:pPr>
            <w:pBdr>
              <w:top w:val="nil"/>
              <w:left w:val="nil"/>
              <w:bottom w:val="nil"/>
              <w:right w:val="nil"/>
              <w:between w:val="nil"/>
            </w:pBdr>
            <w:tabs>
              <w:tab w:val="center" w:pos="4513"/>
              <w:tab w:val="right" w:pos="9026"/>
            </w:tabs>
            <w:jc w:val="center"/>
            <w:rPr>
              <w:color w:val="000000"/>
            </w:rPr>
          </w:pPr>
        </w:p>
      </w:tc>
      <w:tc>
        <w:tcPr>
          <w:tcW w:w="3010" w:type="dxa"/>
        </w:tcPr>
        <w:p w14:paraId="7ECF703F" w14:textId="77777777" w:rsidR="00A81A4B" w:rsidRPr="00733F83" w:rsidRDefault="00A81A4B">
          <w:pPr>
            <w:pBdr>
              <w:top w:val="nil"/>
              <w:left w:val="nil"/>
              <w:bottom w:val="nil"/>
              <w:right w:val="nil"/>
              <w:between w:val="nil"/>
            </w:pBdr>
            <w:tabs>
              <w:tab w:val="center" w:pos="4513"/>
              <w:tab w:val="right" w:pos="9026"/>
            </w:tabs>
            <w:ind w:right="-115"/>
            <w:jc w:val="right"/>
            <w:rPr>
              <w:color w:val="000000"/>
            </w:rPr>
          </w:pPr>
        </w:p>
      </w:tc>
    </w:tr>
  </w:tbl>
  <w:p w14:paraId="0E3E7916" w14:textId="77777777" w:rsidR="00A81A4B" w:rsidRPr="00733F83" w:rsidRDefault="00A81A4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EB96" w14:textId="77777777" w:rsidR="00710167" w:rsidRPr="00733F83" w:rsidRDefault="00710167">
      <w:r w:rsidRPr="00733F83">
        <w:separator/>
      </w:r>
    </w:p>
  </w:footnote>
  <w:footnote w:type="continuationSeparator" w:id="0">
    <w:p w14:paraId="70CDCBAD" w14:textId="77777777" w:rsidR="00710167" w:rsidRPr="00733F83" w:rsidRDefault="00710167">
      <w:r w:rsidRPr="00733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962C" w14:textId="77777777" w:rsidR="00A81A4B" w:rsidRPr="00733F83" w:rsidRDefault="00A81A4B">
    <w:pPr>
      <w:pBdr>
        <w:top w:val="nil"/>
        <w:left w:val="nil"/>
        <w:bottom w:val="nil"/>
        <w:right w:val="nil"/>
        <w:between w:val="nil"/>
      </w:pBdr>
      <w:tabs>
        <w:tab w:val="center" w:pos="4513"/>
        <w:tab w:val="right" w:pos="9026"/>
      </w:tabs>
      <w:rPr>
        <w:color w:val="000000"/>
      </w:rPr>
    </w:pPr>
  </w:p>
  <w:p w14:paraId="611BE688" w14:textId="77777777" w:rsidR="00A81A4B" w:rsidRPr="006A1A38" w:rsidRDefault="00B841EC" w:rsidP="00BE4F4C">
    <w:pPr>
      <w:pBdr>
        <w:top w:val="nil"/>
        <w:left w:val="nil"/>
        <w:bottom w:val="nil"/>
        <w:right w:val="nil"/>
        <w:between w:val="nil"/>
      </w:pBdr>
      <w:tabs>
        <w:tab w:val="center" w:pos="4513"/>
        <w:tab w:val="right" w:pos="9026"/>
      </w:tabs>
      <w:jc w:val="right"/>
      <w:rPr>
        <w:color w:val="000000"/>
        <w:lang w:val="en-US"/>
      </w:rPr>
    </w:pPr>
    <w:r w:rsidRPr="006A1A38">
      <w:rPr>
        <w:color w:val="000000"/>
        <w:lang w:val="en-US"/>
      </w:rPr>
      <w:t xml:space="preserve">IOC/SC-IOCARIBE-XVIII/3s </w:t>
    </w:r>
    <w:r w:rsidR="00A81A4B" w:rsidRPr="006A1A38">
      <w:rPr>
        <w:color w:val="000000"/>
        <w:lang w:val="en-US"/>
      </w:rPr>
      <w:t xml:space="preserve">Prov. - Página </w:t>
    </w:r>
    <w:r w:rsidR="00A81A4B" w:rsidRPr="00733F83">
      <w:rPr>
        <w:color w:val="000000"/>
      </w:rPr>
      <w:fldChar w:fldCharType="begin"/>
    </w:r>
    <w:r w:rsidR="00A81A4B" w:rsidRPr="006A1A38">
      <w:rPr>
        <w:color w:val="000000"/>
        <w:lang w:val="en-US"/>
      </w:rPr>
      <w:instrText>PAGE</w:instrText>
    </w:r>
    <w:r w:rsidR="00A81A4B" w:rsidRPr="00733F83">
      <w:rPr>
        <w:color w:val="000000"/>
      </w:rPr>
      <w:fldChar w:fldCharType="separate"/>
    </w:r>
    <w:r w:rsidR="00657463" w:rsidRPr="006A1A38">
      <w:rPr>
        <w:color w:val="000000"/>
        <w:lang w:val="en-US"/>
      </w:rPr>
      <w:t>18</w:t>
    </w:r>
    <w:r w:rsidR="00A81A4B" w:rsidRPr="00733F83">
      <w:rPr>
        <w:color w:val="000000"/>
      </w:rPr>
      <w:fldChar w:fldCharType="end"/>
    </w:r>
  </w:p>
  <w:p w14:paraId="0667D35D" w14:textId="77777777" w:rsidR="00A81A4B" w:rsidRPr="006A1A38" w:rsidRDefault="00A81A4B">
    <w:pPr>
      <w:pBdr>
        <w:top w:val="nil"/>
        <w:left w:val="nil"/>
        <w:bottom w:val="nil"/>
        <w:right w:val="nil"/>
        <w:between w:val="nil"/>
      </w:pBdr>
      <w:tabs>
        <w:tab w:val="center" w:pos="4513"/>
        <w:tab w:val="right" w:pos="9026"/>
      </w:tabs>
      <w:rPr>
        <w:color w:val="00000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E995" w14:textId="77777777" w:rsidR="00A81A4B" w:rsidRPr="00733F83" w:rsidRDefault="00A81A4B">
    <w:pPr>
      <w:pBdr>
        <w:top w:val="nil"/>
        <w:left w:val="nil"/>
        <w:bottom w:val="nil"/>
        <w:right w:val="nil"/>
        <w:between w:val="nil"/>
      </w:pBdr>
      <w:tabs>
        <w:tab w:val="center" w:pos="4513"/>
        <w:tab w:val="right" w:pos="9026"/>
      </w:tabs>
      <w:jc w:val="right"/>
      <w:rPr>
        <w:color w:val="000000"/>
      </w:rPr>
    </w:pPr>
  </w:p>
  <w:p w14:paraId="1B98AD35" w14:textId="77777777" w:rsidR="00A81A4B" w:rsidRPr="006A1A38" w:rsidRDefault="00B841EC">
    <w:pPr>
      <w:pBdr>
        <w:top w:val="nil"/>
        <w:left w:val="nil"/>
        <w:bottom w:val="nil"/>
        <w:right w:val="nil"/>
        <w:between w:val="nil"/>
      </w:pBdr>
      <w:tabs>
        <w:tab w:val="center" w:pos="4513"/>
        <w:tab w:val="right" w:pos="9026"/>
      </w:tabs>
      <w:jc w:val="right"/>
      <w:rPr>
        <w:color w:val="000000"/>
        <w:lang w:val="en-US"/>
      </w:rPr>
    </w:pPr>
    <w:r w:rsidRPr="006A1A38">
      <w:rPr>
        <w:color w:val="000000"/>
        <w:lang w:val="en-US"/>
      </w:rPr>
      <w:t xml:space="preserve">IOC/SC-IOCARIBE-XVIII/3s </w:t>
    </w:r>
    <w:r w:rsidR="00A81A4B" w:rsidRPr="006A1A38">
      <w:rPr>
        <w:color w:val="000000"/>
        <w:lang w:val="en-US"/>
      </w:rPr>
      <w:t xml:space="preserve">- Page </w:t>
    </w:r>
    <w:r w:rsidR="00A81A4B" w:rsidRPr="00733F83">
      <w:rPr>
        <w:color w:val="000000"/>
      </w:rPr>
      <w:fldChar w:fldCharType="begin"/>
    </w:r>
    <w:r w:rsidR="00A81A4B" w:rsidRPr="006A1A38">
      <w:rPr>
        <w:color w:val="000000"/>
        <w:lang w:val="en-US"/>
      </w:rPr>
      <w:instrText>PAGE</w:instrText>
    </w:r>
    <w:r w:rsidR="00A81A4B" w:rsidRPr="00733F83">
      <w:rPr>
        <w:color w:val="000000"/>
      </w:rPr>
      <w:fldChar w:fldCharType="separate"/>
    </w:r>
    <w:r w:rsidR="00657463" w:rsidRPr="006A1A38">
      <w:rPr>
        <w:color w:val="000000"/>
        <w:lang w:val="en-US"/>
      </w:rPr>
      <w:t>19</w:t>
    </w:r>
    <w:r w:rsidR="00A81A4B" w:rsidRPr="00733F83">
      <w:rPr>
        <w:color w:val="000000"/>
      </w:rPr>
      <w:fldChar w:fldCharType="end"/>
    </w:r>
  </w:p>
  <w:p w14:paraId="4B3986F2" w14:textId="77777777" w:rsidR="00A81A4B" w:rsidRPr="006A1A38" w:rsidRDefault="00A81A4B">
    <w:pPr>
      <w:pBdr>
        <w:top w:val="nil"/>
        <w:left w:val="nil"/>
        <w:bottom w:val="nil"/>
        <w:right w:val="nil"/>
        <w:between w:val="nil"/>
      </w:pBdr>
      <w:tabs>
        <w:tab w:val="center" w:pos="4513"/>
        <w:tab w:val="right" w:pos="9026"/>
      </w:tabs>
      <w:jc w:val="right"/>
      <w:rPr>
        <w:color w:val="000000"/>
        <w:lang w:val="en-US"/>
      </w:rPr>
    </w:pPr>
  </w:p>
  <w:p w14:paraId="78FAD0B2" w14:textId="77777777" w:rsidR="00A81A4B" w:rsidRPr="006A1A38" w:rsidRDefault="00A81A4B">
    <w:pPr>
      <w:pBdr>
        <w:top w:val="nil"/>
        <w:left w:val="nil"/>
        <w:bottom w:val="nil"/>
        <w:right w:val="nil"/>
        <w:between w:val="nil"/>
      </w:pBdr>
      <w:spacing w:line="14" w:lineRule="auto"/>
      <w:rPr>
        <w:color w:val="000000"/>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E72C" w14:textId="77777777" w:rsidR="00A81A4B" w:rsidRPr="00733F83" w:rsidRDefault="00A81A4B">
    <w:pPr>
      <w:pBdr>
        <w:top w:val="nil"/>
        <w:left w:val="nil"/>
        <w:bottom w:val="nil"/>
        <w:right w:val="nil"/>
        <w:between w:val="nil"/>
      </w:pBdr>
      <w:spacing w:line="276" w:lineRule="auto"/>
      <w:rPr>
        <w:color w:val="000000"/>
        <w:sz w:val="2"/>
        <w:szCs w:val="2"/>
      </w:rPr>
    </w:pPr>
  </w:p>
  <w:p w14:paraId="4B495DB9" w14:textId="37D210AF" w:rsidR="0085333F" w:rsidRPr="00733F83" w:rsidRDefault="29BC8D8A" w:rsidP="29BC8D8A">
    <w:pPr>
      <w:tabs>
        <w:tab w:val="left" w:pos="567"/>
        <w:tab w:val="left" w:pos="7560"/>
      </w:tabs>
      <w:snapToGrid w:val="0"/>
      <w:jc w:val="right"/>
      <w:rPr>
        <w:rFonts w:eastAsia="Times New Roman"/>
        <w:b/>
        <w:bCs/>
        <w:snapToGrid w:val="0"/>
        <w:sz w:val="32"/>
        <w:szCs w:val="32"/>
      </w:rPr>
    </w:pPr>
    <w:r w:rsidRPr="00733F83">
      <w:rPr>
        <w:rFonts w:eastAsia="Times New Roman"/>
        <w:snapToGrid w:val="0"/>
      </w:rPr>
      <w:t xml:space="preserve">Distribution restreinte                                              </w:t>
    </w:r>
    <w:r w:rsidRPr="00733F83">
      <w:rPr>
        <w:rFonts w:eastAsia="Times New Roman"/>
        <w:b/>
        <w:bCs/>
        <w:snapToGrid w:val="0"/>
        <w:sz w:val="32"/>
        <w:szCs w:val="32"/>
      </w:rPr>
      <w:t>IOC/SC-IOCARIBE-XVIII/3s</w:t>
    </w:r>
  </w:p>
  <w:p w14:paraId="589D5AC5" w14:textId="076324CA" w:rsidR="0085333F" w:rsidRPr="00733F83" w:rsidRDefault="0085333F" w:rsidP="0085333F">
    <w:pPr>
      <w:jc w:val="right"/>
    </w:pPr>
    <w:bookmarkStart w:id="18" w:name="_Toc134369540"/>
    <w:bookmarkStart w:id="19" w:name="_Toc134369557"/>
    <w:bookmarkStart w:id="20" w:name="_Hlk133657799"/>
    <w:r w:rsidRPr="00733F83">
      <w:t xml:space="preserve">Brasilia, Brésil, </w:t>
    </w:r>
    <w:r w:rsidR="00855B82" w:rsidRPr="00733F83">
      <w:t xml:space="preserve">9 </w:t>
    </w:r>
    <w:r w:rsidR="0075598B" w:rsidRPr="00733F83">
      <w:t xml:space="preserve">mai </w:t>
    </w:r>
    <w:r w:rsidRPr="00733F83">
      <w:t>2025</w:t>
    </w:r>
    <w:bookmarkEnd w:id="18"/>
    <w:bookmarkEnd w:id="19"/>
  </w:p>
  <w:p w14:paraId="27B02C3B" w14:textId="1907B172" w:rsidR="0085333F" w:rsidRPr="00733F83" w:rsidRDefault="1659A7A6" w:rsidP="0085333F">
    <w:pPr>
      <w:jc w:val="right"/>
      <w:rPr>
        <w:lang w:val="es-CO"/>
      </w:rPr>
    </w:pPr>
    <w:r w:rsidRPr="287ABEAF">
      <w:rPr>
        <w:lang w:val="es-CO"/>
      </w:rPr>
      <w:t>Original : anglais</w:t>
    </w:r>
  </w:p>
  <w:p w14:paraId="2C9DA628" w14:textId="77777777" w:rsidR="0085333F" w:rsidRPr="00733F83" w:rsidRDefault="0085333F" w:rsidP="0085333F">
    <w:pPr>
      <w:ind w:right="100"/>
      <w:jc w:val="right"/>
    </w:pPr>
  </w:p>
  <w:bookmarkEnd w:id="20"/>
  <w:p w14:paraId="36FC1463" w14:textId="77777777" w:rsidR="0085333F" w:rsidRPr="00733F83" w:rsidRDefault="0085333F" w:rsidP="0085333F">
    <w:pPr>
      <w:spacing w:line="229" w:lineRule="exact"/>
      <w:ind w:left="2694"/>
      <w:rPr>
        <w:b/>
        <w:bCs/>
      </w:rPr>
    </w:pPr>
    <w:r w:rsidRPr="00733F83">
      <w:rPr>
        <w:noProof/>
      </w:rPr>
      <w:drawing>
        <wp:anchor distT="0" distB="0" distL="0" distR="0" simplePos="0" relativeHeight="251658240" behindDoc="0" locked="0" layoutInCell="1" allowOverlap="1" wp14:anchorId="04587673" wp14:editId="50C4D711">
          <wp:simplePos x="0" y="0"/>
          <wp:positionH relativeFrom="page">
            <wp:posOffset>999490</wp:posOffset>
          </wp:positionH>
          <wp:positionV relativeFrom="paragraph">
            <wp:posOffset>117475</wp:posOffset>
          </wp:positionV>
          <wp:extent cx="1605915" cy="1002665"/>
          <wp:effectExtent l="0" t="0" r="0" b="6985"/>
          <wp:wrapNone/>
          <wp:docPr id="1359175570" name="image2.jpeg"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1605915" cy="1002665"/>
                  </a:xfrm>
                  <a:prstGeom prst="rect">
                    <a:avLst/>
                  </a:prstGeom>
                </pic:spPr>
              </pic:pic>
            </a:graphicData>
          </a:graphic>
          <wp14:sizeRelH relativeFrom="margin">
            <wp14:pctWidth>0</wp14:pctWidth>
          </wp14:sizeRelH>
          <wp14:sizeRelV relativeFrom="margin">
            <wp14:pctHeight>0</wp14:pctHeight>
          </wp14:sizeRelV>
        </wp:anchor>
      </w:drawing>
    </w:r>
  </w:p>
  <w:p w14:paraId="7FA6FB38" w14:textId="77777777" w:rsidR="0085333F" w:rsidRPr="00733F83" w:rsidRDefault="0085333F" w:rsidP="0085333F">
    <w:pPr>
      <w:spacing w:line="229" w:lineRule="exact"/>
      <w:ind w:left="2694"/>
      <w:jc w:val="center"/>
      <w:rPr>
        <w:lang w:val="es-CO"/>
      </w:rPr>
    </w:pPr>
    <w:r w:rsidRPr="287ABEAF">
      <w:rPr>
        <w:b/>
        <w:lang w:val="es-CO"/>
      </w:rPr>
      <w:t xml:space="preserve">COMMISSION OCÉANOGRAPHIQUE INTERGOUVERNEMENTALE </w:t>
    </w:r>
    <w:r w:rsidRPr="287ABEAF">
      <w:rPr>
        <w:lang w:val="es-CO"/>
      </w:rPr>
      <w:t>(de l'UNESCO)</w:t>
    </w:r>
  </w:p>
  <w:p w14:paraId="44008AB4" w14:textId="77777777" w:rsidR="0085333F" w:rsidRPr="00733F83" w:rsidRDefault="0085333F" w:rsidP="0085333F">
    <w:pPr>
      <w:spacing w:before="11"/>
      <w:ind w:left="2694"/>
      <w:jc w:val="center"/>
    </w:pPr>
  </w:p>
  <w:p w14:paraId="63D602DD" w14:textId="68BE67D0" w:rsidR="0085333F" w:rsidRPr="00733F83" w:rsidRDefault="0085333F" w:rsidP="0085333F">
    <w:pPr>
      <w:pStyle w:val="BodyText"/>
      <w:spacing w:line="242" w:lineRule="auto"/>
      <w:ind w:left="2694"/>
      <w:jc w:val="center"/>
      <w:rPr>
        <w:b/>
        <w:bCs/>
      </w:rPr>
    </w:pPr>
    <w:r w:rsidRPr="00733F83">
      <w:rPr>
        <w:b/>
        <w:bCs/>
      </w:rPr>
      <w:t>DIX-HUITIÈME SESSION INTERGOUVERNEMENTALE DE LA SOUS-COMMISSION UNESCO-C</w:t>
    </w:r>
    <w:r w:rsidR="007A591A" w:rsidRPr="00733F83">
      <w:rPr>
        <w:b/>
        <w:bCs/>
      </w:rPr>
      <w:t>OI</w:t>
    </w:r>
    <w:r w:rsidRPr="00733F83">
      <w:rPr>
        <w:b/>
        <w:bCs/>
      </w:rPr>
      <w:t xml:space="preserve"> POUR LES CARAÏBES ET LES RÉGIONS ADJACENTES (IOCARIBE-XVIII)</w:t>
    </w:r>
  </w:p>
  <w:p w14:paraId="2438D292" w14:textId="77777777" w:rsidR="0085333F" w:rsidRPr="00733F83" w:rsidRDefault="0085333F" w:rsidP="0085333F">
    <w:pPr>
      <w:spacing w:before="2"/>
      <w:ind w:left="2694"/>
      <w:jc w:val="center"/>
    </w:pPr>
    <w:r w:rsidRPr="00733F83">
      <w:t>(Brasilia, 23-25 avril 2025)</w:t>
    </w:r>
  </w:p>
  <w:p w14:paraId="32F2EF4D" w14:textId="77777777" w:rsidR="00A81A4B" w:rsidRPr="00733F83" w:rsidRDefault="00A81A4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97F"/>
    <w:multiLevelType w:val="multilevel"/>
    <w:tmpl w:val="583AFC0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E0E559A"/>
    <w:multiLevelType w:val="multilevel"/>
    <w:tmpl w:val="7ED06F4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414BD9"/>
    <w:multiLevelType w:val="multilevel"/>
    <w:tmpl w:val="1CC2A25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5"/>
      <w:numFmt w:val="bullet"/>
      <w:lvlText w:val="-"/>
      <w:lvlJc w:val="left"/>
      <w:pPr>
        <w:ind w:left="2340" w:hanging="360"/>
      </w:pPr>
      <w:rPr>
        <w:rFonts w:ascii="Arial" w:eastAsia="Arial" w:hAnsi="Arial" w:cs="Arial"/>
      </w:rPr>
    </w:lvl>
    <w:lvl w:ilvl="3">
      <w:start w:val="1"/>
      <w:numFmt w:val="upperRoman"/>
      <w:lvlText w:val="%4."/>
      <w:lvlJc w:val="left"/>
      <w:pPr>
        <w:ind w:left="3240" w:hanging="720"/>
      </w:pPr>
      <w:rPr>
        <w:b/>
      </w:rPr>
    </w:lvl>
    <w:lvl w:ilvl="4">
      <w:start w:val="1"/>
      <w:numFmt w:val="lowerRoman"/>
      <w:lvlText w:val="(%5)"/>
      <w:lvlJc w:val="left"/>
      <w:pPr>
        <w:ind w:left="396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491E5D"/>
    <w:multiLevelType w:val="multilevel"/>
    <w:tmpl w:val="30184F54"/>
    <w:lvl w:ilvl="0">
      <w:start w:val="1"/>
      <w:numFmt w:val="decimal"/>
      <w:lvlText w:val="%1."/>
      <w:lvlJc w:val="left"/>
      <w:pPr>
        <w:ind w:left="775" w:hanging="492"/>
      </w:pPr>
      <w:rPr>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4" w15:restartNumberingAfterBreak="0">
    <w:nsid w:val="17EA1408"/>
    <w:multiLevelType w:val="multilevel"/>
    <w:tmpl w:val="4E98A96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CE4746"/>
    <w:multiLevelType w:val="multilevel"/>
    <w:tmpl w:val="2A8CA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3C4106"/>
    <w:multiLevelType w:val="multilevel"/>
    <w:tmpl w:val="7E82E7CA"/>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041BA6"/>
    <w:multiLevelType w:val="multilevel"/>
    <w:tmpl w:val="E2602EC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BE1FD2"/>
    <w:multiLevelType w:val="multilevel"/>
    <w:tmpl w:val="02582F50"/>
    <w:lvl w:ilvl="0">
      <w:start w:val="1"/>
      <w:numFmt w:val="decimal"/>
      <w:lvlText w:val="%1."/>
      <w:lvlJc w:val="left"/>
      <w:pPr>
        <w:ind w:left="720" w:hanging="360"/>
      </w:pPr>
      <w:rPr>
        <w:rFonts w:ascii="Arial" w:eastAsia="Arial" w:hAnsi="Arial" w:cs="Arial"/>
        <w:b w:val="0"/>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9" w15:restartNumberingAfterBreak="0">
    <w:nsid w:val="30BF5D7F"/>
    <w:multiLevelType w:val="multilevel"/>
    <w:tmpl w:val="34BC8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990618"/>
    <w:multiLevelType w:val="multilevel"/>
    <w:tmpl w:val="01B6140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730521"/>
    <w:multiLevelType w:val="multilevel"/>
    <w:tmpl w:val="D3E2350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88698F"/>
    <w:multiLevelType w:val="multilevel"/>
    <w:tmpl w:val="DEFAAD64"/>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EB3208"/>
    <w:multiLevelType w:val="multilevel"/>
    <w:tmpl w:val="50CE69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0025BB4"/>
    <w:multiLevelType w:val="multilevel"/>
    <w:tmpl w:val="A048726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15476F6"/>
    <w:multiLevelType w:val="multilevel"/>
    <w:tmpl w:val="04AC9682"/>
    <w:lvl w:ilvl="0">
      <w:start w:val="1"/>
      <w:numFmt w:val="lowerRoman"/>
      <w:lvlText w:val="%1."/>
      <w:lvlJc w:val="righ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2A44D31"/>
    <w:multiLevelType w:val="multilevel"/>
    <w:tmpl w:val="08A4E70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6586D09"/>
    <w:multiLevelType w:val="multilevel"/>
    <w:tmpl w:val="6B447B2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9766FA9"/>
    <w:multiLevelType w:val="multilevel"/>
    <w:tmpl w:val="E32A6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DB2851"/>
    <w:multiLevelType w:val="multilevel"/>
    <w:tmpl w:val="CAFCDA74"/>
    <w:lvl w:ilvl="0">
      <w:start w:val="1"/>
      <w:numFmt w:val="low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5E3292"/>
    <w:multiLevelType w:val="multilevel"/>
    <w:tmpl w:val="7750B478"/>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07B4AE0"/>
    <w:multiLevelType w:val="multilevel"/>
    <w:tmpl w:val="523648EC"/>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22" w15:restartNumberingAfterBreak="0">
    <w:nsid w:val="507B4BC0"/>
    <w:multiLevelType w:val="multilevel"/>
    <w:tmpl w:val="4F0A9FF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C2D6A"/>
    <w:multiLevelType w:val="multilevel"/>
    <w:tmpl w:val="F920FC9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5F5B62E0"/>
    <w:multiLevelType w:val="multilevel"/>
    <w:tmpl w:val="0FC6A4B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F766E11"/>
    <w:multiLevelType w:val="multilevel"/>
    <w:tmpl w:val="7DE2EA7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784FBD"/>
    <w:multiLevelType w:val="multilevel"/>
    <w:tmpl w:val="838E3E44"/>
    <w:lvl w:ilvl="0">
      <w:start w:val="1"/>
      <w:numFmt w:val="decimal"/>
      <w:lvlText w:val="%1."/>
      <w:lvlJc w:val="left"/>
      <w:pPr>
        <w:ind w:left="856" w:hanging="492"/>
      </w:pPr>
      <w:rPr>
        <w:rFonts w:ascii="Arial" w:eastAsia="Arial" w:hAnsi="Arial" w:cs="Arial"/>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7" w15:restartNumberingAfterBreak="0">
    <w:nsid w:val="676D0114"/>
    <w:multiLevelType w:val="multilevel"/>
    <w:tmpl w:val="0D78EF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8990CA8"/>
    <w:multiLevelType w:val="multilevel"/>
    <w:tmpl w:val="8FF894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98E2A8A"/>
    <w:multiLevelType w:val="multilevel"/>
    <w:tmpl w:val="7C42806A"/>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ADD6DFC"/>
    <w:multiLevelType w:val="multilevel"/>
    <w:tmpl w:val="6672B3AC"/>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4152507"/>
    <w:multiLevelType w:val="multilevel"/>
    <w:tmpl w:val="7D50E562"/>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B011D00"/>
    <w:multiLevelType w:val="multilevel"/>
    <w:tmpl w:val="6F22D908"/>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abstractNum w:abstractNumId="33" w15:restartNumberingAfterBreak="0">
    <w:nsid w:val="7DDD6991"/>
    <w:multiLevelType w:val="multilevel"/>
    <w:tmpl w:val="3628F002"/>
    <w:lvl w:ilvl="0">
      <w:start w:val="1"/>
      <w:numFmt w:val="decimal"/>
      <w:lvlText w:val="%1."/>
      <w:lvlJc w:val="left"/>
      <w:pPr>
        <w:ind w:left="720" w:hanging="360"/>
      </w:pPr>
      <w:rPr>
        <w:rFonts w:ascii="Arial" w:eastAsia="Arial" w:hAnsi="Arial" w:cs="Arial"/>
        <w:sz w:val="22"/>
        <w:szCs w:val="22"/>
      </w:rPr>
    </w:lvl>
    <w:lvl w:ilvl="1">
      <w:start w:val="3"/>
      <w:numFmt w:val="decimal"/>
      <w:lvlText w:val="%1.%2"/>
      <w:lvlJc w:val="left"/>
      <w:pPr>
        <w:ind w:left="1068" w:hanging="708"/>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440" w:hanging="108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1800" w:hanging="1440"/>
      </w:pPr>
      <w:rPr>
        <w:sz w:val="22"/>
        <w:szCs w:val="22"/>
      </w:rPr>
    </w:lvl>
    <w:lvl w:ilvl="8">
      <w:start w:val="1"/>
      <w:numFmt w:val="decimal"/>
      <w:lvlText w:val="%1.%2.%3.%4.%5.%6.%7.%8.%9"/>
      <w:lvlJc w:val="left"/>
      <w:pPr>
        <w:ind w:left="2160" w:hanging="1800"/>
      </w:pPr>
      <w:rPr>
        <w:sz w:val="22"/>
        <w:szCs w:val="22"/>
      </w:rPr>
    </w:lvl>
  </w:abstractNum>
  <w:num w:numId="1" w16cid:durableId="124205141">
    <w:abstractNumId w:val="22"/>
  </w:num>
  <w:num w:numId="2" w16cid:durableId="213930347">
    <w:abstractNumId w:val="27"/>
  </w:num>
  <w:num w:numId="3" w16cid:durableId="2073649604">
    <w:abstractNumId w:val="32"/>
  </w:num>
  <w:num w:numId="4" w16cid:durableId="428159809">
    <w:abstractNumId w:val="21"/>
  </w:num>
  <w:num w:numId="5" w16cid:durableId="1285577107">
    <w:abstractNumId w:val="33"/>
  </w:num>
  <w:num w:numId="6" w16cid:durableId="739251684">
    <w:abstractNumId w:val="3"/>
  </w:num>
  <w:num w:numId="7" w16cid:durableId="250741682">
    <w:abstractNumId w:val="26"/>
  </w:num>
  <w:num w:numId="8" w16cid:durableId="1163281198">
    <w:abstractNumId w:val="2"/>
  </w:num>
  <w:num w:numId="9" w16cid:durableId="1027408679">
    <w:abstractNumId w:val="8"/>
  </w:num>
  <w:num w:numId="10" w16cid:durableId="104546175">
    <w:abstractNumId w:val="9"/>
  </w:num>
  <w:num w:numId="11" w16cid:durableId="1518811922">
    <w:abstractNumId w:val="18"/>
  </w:num>
  <w:num w:numId="12" w16cid:durableId="915897904">
    <w:abstractNumId w:val="5"/>
  </w:num>
  <w:num w:numId="13" w16cid:durableId="641345373">
    <w:abstractNumId w:val="23"/>
  </w:num>
  <w:num w:numId="14" w16cid:durableId="734742446">
    <w:abstractNumId w:val="19"/>
  </w:num>
  <w:num w:numId="15" w16cid:durableId="2089420550">
    <w:abstractNumId w:val="6"/>
  </w:num>
  <w:num w:numId="16" w16cid:durableId="15498532">
    <w:abstractNumId w:val="10"/>
  </w:num>
  <w:num w:numId="17" w16cid:durableId="171185604">
    <w:abstractNumId w:val="31"/>
  </w:num>
  <w:num w:numId="18" w16cid:durableId="2072076080">
    <w:abstractNumId w:val="28"/>
  </w:num>
  <w:num w:numId="19" w16cid:durableId="139346546">
    <w:abstractNumId w:val="20"/>
  </w:num>
  <w:num w:numId="20" w16cid:durableId="1213342745">
    <w:abstractNumId w:val="13"/>
  </w:num>
  <w:num w:numId="21" w16cid:durableId="1399934514">
    <w:abstractNumId w:val="7"/>
  </w:num>
  <w:num w:numId="22" w16cid:durableId="1437479424">
    <w:abstractNumId w:val="15"/>
  </w:num>
  <w:num w:numId="23" w16cid:durableId="966399493">
    <w:abstractNumId w:val="14"/>
  </w:num>
  <w:num w:numId="24" w16cid:durableId="1499660325">
    <w:abstractNumId w:val="25"/>
  </w:num>
  <w:num w:numId="25" w16cid:durableId="619146920">
    <w:abstractNumId w:val="1"/>
  </w:num>
  <w:num w:numId="26" w16cid:durableId="1315794372">
    <w:abstractNumId w:val="30"/>
  </w:num>
  <w:num w:numId="27" w16cid:durableId="2015305281">
    <w:abstractNumId w:val="12"/>
  </w:num>
  <w:num w:numId="28" w16cid:durableId="366608433">
    <w:abstractNumId w:val="29"/>
  </w:num>
  <w:num w:numId="29" w16cid:durableId="4675923">
    <w:abstractNumId w:val="16"/>
  </w:num>
  <w:num w:numId="30" w16cid:durableId="642393920">
    <w:abstractNumId w:val="11"/>
  </w:num>
  <w:num w:numId="31" w16cid:durableId="1468544628">
    <w:abstractNumId w:val="17"/>
  </w:num>
  <w:num w:numId="32" w16cid:durableId="8417195">
    <w:abstractNumId w:val="4"/>
  </w:num>
  <w:num w:numId="33" w16cid:durableId="665742247">
    <w:abstractNumId w:val="0"/>
  </w:num>
  <w:num w:numId="34" w16cid:durableId="21428383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forms" w:enforcement="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C4"/>
    <w:rsid w:val="00007B69"/>
    <w:rsid w:val="00037D30"/>
    <w:rsid w:val="00043990"/>
    <w:rsid w:val="00073113"/>
    <w:rsid w:val="000824E5"/>
    <w:rsid w:val="000856CF"/>
    <w:rsid w:val="000A41CD"/>
    <w:rsid w:val="000C12A1"/>
    <w:rsid w:val="000C3177"/>
    <w:rsid w:val="000C64E0"/>
    <w:rsid w:val="000E178A"/>
    <w:rsid w:val="00124F71"/>
    <w:rsid w:val="00152144"/>
    <w:rsid w:val="00157D99"/>
    <w:rsid w:val="00196BF1"/>
    <w:rsid w:val="001D7367"/>
    <w:rsid w:val="001F7D9E"/>
    <w:rsid w:val="00217E95"/>
    <w:rsid w:val="00230D46"/>
    <w:rsid w:val="0027416F"/>
    <w:rsid w:val="00281791"/>
    <w:rsid w:val="002A7D95"/>
    <w:rsid w:val="002C2524"/>
    <w:rsid w:val="002C4F0A"/>
    <w:rsid w:val="00304827"/>
    <w:rsid w:val="00315800"/>
    <w:rsid w:val="0032B258"/>
    <w:rsid w:val="00341DE9"/>
    <w:rsid w:val="00361933"/>
    <w:rsid w:val="003627EA"/>
    <w:rsid w:val="0036336F"/>
    <w:rsid w:val="003776C4"/>
    <w:rsid w:val="00383B5D"/>
    <w:rsid w:val="003B4690"/>
    <w:rsid w:val="003C70E0"/>
    <w:rsid w:val="0042724D"/>
    <w:rsid w:val="004276EF"/>
    <w:rsid w:val="00436C8C"/>
    <w:rsid w:val="00450ECF"/>
    <w:rsid w:val="0047502C"/>
    <w:rsid w:val="00491764"/>
    <w:rsid w:val="004A1AF0"/>
    <w:rsid w:val="004F60AB"/>
    <w:rsid w:val="005007CC"/>
    <w:rsid w:val="00515357"/>
    <w:rsid w:val="00517DF1"/>
    <w:rsid w:val="00522DAE"/>
    <w:rsid w:val="005342E8"/>
    <w:rsid w:val="00545B24"/>
    <w:rsid w:val="005A4BBA"/>
    <w:rsid w:val="005C1803"/>
    <w:rsid w:val="005F20B9"/>
    <w:rsid w:val="006017BA"/>
    <w:rsid w:val="006225AF"/>
    <w:rsid w:val="00657463"/>
    <w:rsid w:val="00661380"/>
    <w:rsid w:val="00663122"/>
    <w:rsid w:val="0067B468"/>
    <w:rsid w:val="006928D6"/>
    <w:rsid w:val="006A1A38"/>
    <w:rsid w:val="006B7CBF"/>
    <w:rsid w:val="006E4AA2"/>
    <w:rsid w:val="006F627C"/>
    <w:rsid w:val="00710167"/>
    <w:rsid w:val="00711A49"/>
    <w:rsid w:val="00712BE9"/>
    <w:rsid w:val="00733F83"/>
    <w:rsid w:val="00741789"/>
    <w:rsid w:val="00747F42"/>
    <w:rsid w:val="0075598B"/>
    <w:rsid w:val="00770CC9"/>
    <w:rsid w:val="00776783"/>
    <w:rsid w:val="007A42F5"/>
    <w:rsid w:val="007A591A"/>
    <w:rsid w:val="007B13D7"/>
    <w:rsid w:val="007D54F1"/>
    <w:rsid w:val="008524C7"/>
    <w:rsid w:val="0085333F"/>
    <w:rsid w:val="00855B82"/>
    <w:rsid w:val="00897096"/>
    <w:rsid w:val="008C3C52"/>
    <w:rsid w:val="009252C9"/>
    <w:rsid w:val="00927705"/>
    <w:rsid w:val="00930C21"/>
    <w:rsid w:val="00944972"/>
    <w:rsid w:val="0094658F"/>
    <w:rsid w:val="00946BA0"/>
    <w:rsid w:val="00951EC6"/>
    <w:rsid w:val="00953AAF"/>
    <w:rsid w:val="00990909"/>
    <w:rsid w:val="00991D49"/>
    <w:rsid w:val="009949A8"/>
    <w:rsid w:val="009C49D6"/>
    <w:rsid w:val="00A2476A"/>
    <w:rsid w:val="00A426D9"/>
    <w:rsid w:val="00A55202"/>
    <w:rsid w:val="00A6593F"/>
    <w:rsid w:val="00A81A4B"/>
    <w:rsid w:val="00A82424"/>
    <w:rsid w:val="00A8531A"/>
    <w:rsid w:val="00A85D84"/>
    <w:rsid w:val="00AB0D0D"/>
    <w:rsid w:val="00AD6CF9"/>
    <w:rsid w:val="00AE125D"/>
    <w:rsid w:val="00B0504C"/>
    <w:rsid w:val="00B10EC1"/>
    <w:rsid w:val="00B23CCA"/>
    <w:rsid w:val="00B33BDC"/>
    <w:rsid w:val="00B71D37"/>
    <w:rsid w:val="00B841EC"/>
    <w:rsid w:val="00B92081"/>
    <w:rsid w:val="00BB5655"/>
    <w:rsid w:val="00BC3ECA"/>
    <w:rsid w:val="00BC5D93"/>
    <w:rsid w:val="00BD1686"/>
    <w:rsid w:val="00BE4F4C"/>
    <w:rsid w:val="00C17DCC"/>
    <w:rsid w:val="00C42DCF"/>
    <w:rsid w:val="00C53489"/>
    <w:rsid w:val="00C733F6"/>
    <w:rsid w:val="00C8431B"/>
    <w:rsid w:val="00C9294E"/>
    <w:rsid w:val="00CF507F"/>
    <w:rsid w:val="00CF6BCA"/>
    <w:rsid w:val="00D104C9"/>
    <w:rsid w:val="00D1663E"/>
    <w:rsid w:val="00D41F09"/>
    <w:rsid w:val="00D70968"/>
    <w:rsid w:val="00D976F8"/>
    <w:rsid w:val="00DA202C"/>
    <w:rsid w:val="00DB0573"/>
    <w:rsid w:val="00E000F8"/>
    <w:rsid w:val="00E04AF0"/>
    <w:rsid w:val="00E12F57"/>
    <w:rsid w:val="00E22D4F"/>
    <w:rsid w:val="00E306BB"/>
    <w:rsid w:val="00E927FE"/>
    <w:rsid w:val="00EB3E2B"/>
    <w:rsid w:val="00EC035E"/>
    <w:rsid w:val="00EC2FA8"/>
    <w:rsid w:val="00EC4D8E"/>
    <w:rsid w:val="00EE4221"/>
    <w:rsid w:val="00EF4B6F"/>
    <w:rsid w:val="00F311CE"/>
    <w:rsid w:val="00F41356"/>
    <w:rsid w:val="00FA5455"/>
    <w:rsid w:val="00FA71BC"/>
    <w:rsid w:val="00FD12A5"/>
    <w:rsid w:val="00FF052D"/>
    <w:rsid w:val="084FA0DE"/>
    <w:rsid w:val="08C571FA"/>
    <w:rsid w:val="09DF8AA0"/>
    <w:rsid w:val="09F48A11"/>
    <w:rsid w:val="0A7AC3AD"/>
    <w:rsid w:val="0C799B59"/>
    <w:rsid w:val="0D4F200A"/>
    <w:rsid w:val="0D810345"/>
    <w:rsid w:val="1659A7A6"/>
    <w:rsid w:val="1786EA94"/>
    <w:rsid w:val="1F98B958"/>
    <w:rsid w:val="20141C60"/>
    <w:rsid w:val="20415E3C"/>
    <w:rsid w:val="209E5E15"/>
    <w:rsid w:val="21406788"/>
    <w:rsid w:val="21DF5203"/>
    <w:rsid w:val="24BD9FF8"/>
    <w:rsid w:val="24D1168F"/>
    <w:rsid w:val="25F201A7"/>
    <w:rsid w:val="287ABEAF"/>
    <w:rsid w:val="29BC8D8A"/>
    <w:rsid w:val="2AF3AEAF"/>
    <w:rsid w:val="2F497ADD"/>
    <w:rsid w:val="31835A2F"/>
    <w:rsid w:val="33C735BE"/>
    <w:rsid w:val="33DADD6C"/>
    <w:rsid w:val="35AC65D7"/>
    <w:rsid w:val="364235E4"/>
    <w:rsid w:val="388A3041"/>
    <w:rsid w:val="3B55C509"/>
    <w:rsid w:val="3D115552"/>
    <w:rsid w:val="3EF02922"/>
    <w:rsid w:val="44533CA5"/>
    <w:rsid w:val="48EF59A3"/>
    <w:rsid w:val="49E59C7A"/>
    <w:rsid w:val="4A811610"/>
    <w:rsid w:val="4B9F5CA6"/>
    <w:rsid w:val="4CE850E6"/>
    <w:rsid w:val="4E2ECB27"/>
    <w:rsid w:val="4F371041"/>
    <w:rsid w:val="4FA44612"/>
    <w:rsid w:val="4FEE5D7A"/>
    <w:rsid w:val="506D39D5"/>
    <w:rsid w:val="50ADA9E7"/>
    <w:rsid w:val="5213E222"/>
    <w:rsid w:val="5438B35F"/>
    <w:rsid w:val="55CD07F1"/>
    <w:rsid w:val="5638634C"/>
    <w:rsid w:val="58EDD914"/>
    <w:rsid w:val="5901CD52"/>
    <w:rsid w:val="59C31F99"/>
    <w:rsid w:val="5A7D0DF1"/>
    <w:rsid w:val="5C9CE25E"/>
    <w:rsid w:val="60AE0868"/>
    <w:rsid w:val="624AC14F"/>
    <w:rsid w:val="62C8FBEF"/>
    <w:rsid w:val="64391A60"/>
    <w:rsid w:val="692DE06C"/>
    <w:rsid w:val="696C49D0"/>
    <w:rsid w:val="6974AA0A"/>
    <w:rsid w:val="6AB3A329"/>
    <w:rsid w:val="6B696083"/>
    <w:rsid w:val="6D58F945"/>
    <w:rsid w:val="6D61D474"/>
    <w:rsid w:val="6DFB8E45"/>
    <w:rsid w:val="6F833DC0"/>
    <w:rsid w:val="71391AE1"/>
    <w:rsid w:val="74CCE6DC"/>
    <w:rsid w:val="74EC70E5"/>
    <w:rsid w:val="75206D06"/>
    <w:rsid w:val="75F2257A"/>
    <w:rsid w:val="761CD196"/>
    <w:rsid w:val="79E0D731"/>
    <w:rsid w:val="7A53EF40"/>
    <w:rsid w:val="7A58877F"/>
    <w:rsid w:val="7EE7602D"/>
    <w:rsid w:val="7F2166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CBF2ED"/>
  <w15:docId w15:val="{1ECF7A74-C19B-4ADD-AB4D-C09D78F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Heading1">
    <w:name w:val="heading 1"/>
    <w:basedOn w:val="Normal"/>
    <w:next w:val="Normal"/>
    <w:pPr>
      <w:outlineLvl w:val="0"/>
    </w:pPr>
    <w:rPr>
      <w:b/>
    </w:rPr>
  </w:style>
  <w:style w:type="paragraph" w:styleId="Heading2">
    <w:name w:val="heading 2"/>
    <w:basedOn w:val="Normal"/>
    <w:next w:val="Normal"/>
    <w:pPr>
      <w:ind w:left="792" w:hanging="432"/>
      <w:jc w:val="both"/>
      <w:outlineLvl w:val="1"/>
    </w:pPr>
    <w:rPr>
      <w:b/>
    </w:rPr>
  </w:style>
  <w:style w:type="paragraph" w:styleId="Heading3">
    <w:name w:val="heading 3"/>
    <w:basedOn w:val="Normal"/>
    <w:next w:val="Normal"/>
    <w:pPr>
      <w:keepNext/>
      <w:keepLines/>
      <w:spacing w:before="40" w:line="480" w:lineRule="auto"/>
      <w:jc w:val="both"/>
      <w:outlineLvl w:val="2"/>
    </w:pPr>
    <w:rPr>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widowControl/>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pPr>
      <w:widowControl/>
    </w:pPr>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pPr>
      <w:widowControl/>
    </w:pPr>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pPr>
      <w:widowControl/>
    </w:pPr>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pPr>
      <w:widowControl/>
    </w:pPr>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top w:w="113" w:type="dxa"/>
        <w:left w:w="115" w:type="dxa"/>
        <w:bottom w:w="113" w:type="dxa"/>
        <w:right w:w="115" w:type="dxa"/>
      </w:tblCellMar>
    </w:tblPr>
  </w:style>
  <w:style w:type="table" w:customStyle="1" w:styleId="aff4">
    <w:basedOn w:val="TableNormal1"/>
    <w:tblPr>
      <w:tblStyleRowBandSize w:val="1"/>
      <w:tblStyleColBandSize w:val="1"/>
      <w:tblCellMar>
        <w:top w:w="113" w:type="dxa"/>
        <w:left w:w="115" w:type="dxa"/>
        <w:bottom w:w="113"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top w:w="113" w:type="dxa"/>
        <w:left w:w="115" w:type="dxa"/>
        <w:bottom w:w="113"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1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A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1AF0"/>
    <w:rPr>
      <w:b/>
      <w:bCs/>
    </w:rPr>
  </w:style>
  <w:style w:type="character" w:customStyle="1" w:styleId="CommentSubjectChar">
    <w:name w:val="Comment Subject Char"/>
    <w:basedOn w:val="CommentTextChar"/>
    <w:link w:val="CommentSubject"/>
    <w:uiPriority w:val="99"/>
    <w:semiHidden/>
    <w:rsid w:val="004A1AF0"/>
    <w:rPr>
      <w:b/>
      <w:bCs/>
      <w:sz w:val="20"/>
      <w:szCs w:val="20"/>
    </w:rPr>
  </w:style>
  <w:style w:type="character" w:styleId="Emphasis">
    <w:name w:val="Emphasis"/>
    <w:basedOn w:val="DefaultParagraphFont"/>
    <w:uiPriority w:val="20"/>
    <w:qFormat/>
    <w:rsid w:val="00B71D37"/>
    <w:rPr>
      <w:i/>
      <w:iCs/>
    </w:rPr>
  </w:style>
  <w:style w:type="paragraph" w:styleId="BodyText">
    <w:name w:val="Body Text"/>
    <w:basedOn w:val="Normal"/>
    <w:link w:val="BodyTextChar"/>
    <w:uiPriority w:val="1"/>
    <w:qFormat/>
    <w:rsid w:val="0085333F"/>
    <w:pPr>
      <w:autoSpaceDE w:val="0"/>
      <w:autoSpaceDN w:val="0"/>
      <w:spacing w:before="119"/>
    </w:pPr>
    <w:rPr>
      <w:rFonts w:ascii="Arial MT" w:eastAsia="Arial MT" w:hAnsi="Arial MT" w:cs="Arial MT"/>
    </w:rPr>
  </w:style>
  <w:style w:type="character" w:customStyle="1" w:styleId="BodyTextChar">
    <w:name w:val="Body Text Char"/>
    <w:basedOn w:val="DefaultParagraphFont"/>
    <w:link w:val="BodyText"/>
    <w:uiPriority w:val="1"/>
    <w:rsid w:val="0085333F"/>
    <w:rPr>
      <w:rFonts w:ascii="Arial MT" w:eastAsia="Arial MT" w:hAnsi="Arial MT" w:cs="Arial MT"/>
    </w:rPr>
  </w:style>
  <w:style w:type="character" w:styleId="Hyperlink">
    <w:name w:val="Hyperlink"/>
    <w:basedOn w:val="DefaultParagraphFont"/>
    <w:uiPriority w:val="99"/>
    <w:unhideWhenUsed/>
    <w:rsid w:val="0085333F"/>
    <w:rPr>
      <w:color w:val="0000FF" w:themeColor="hyperlink"/>
      <w:u w:val="single"/>
    </w:rPr>
  </w:style>
  <w:style w:type="character" w:styleId="UnresolvedMention">
    <w:name w:val="Unresolved Mention"/>
    <w:basedOn w:val="DefaultParagraphFont"/>
    <w:uiPriority w:val="99"/>
    <w:semiHidden/>
    <w:unhideWhenUsed/>
    <w:rsid w:val="0085333F"/>
    <w:rPr>
      <w:color w:val="605E5C"/>
      <w:shd w:val="clear" w:color="auto" w:fill="E1DFDD"/>
    </w:rPr>
  </w:style>
  <w:style w:type="paragraph" w:styleId="ListParagraph">
    <w:name w:val="List Paragraph"/>
    <w:basedOn w:val="Normal"/>
    <w:uiPriority w:val="34"/>
    <w:qFormat/>
    <w:rsid w:val="002A7D95"/>
    <w:pPr>
      <w:ind w:left="720"/>
      <w:contextualSpacing/>
    </w:pPr>
  </w:style>
  <w:style w:type="paragraph" w:styleId="Header">
    <w:name w:val="header"/>
    <w:basedOn w:val="Normal"/>
    <w:link w:val="HeaderChar"/>
    <w:uiPriority w:val="99"/>
    <w:semiHidden/>
    <w:unhideWhenUsed/>
    <w:rsid w:val="00EF4B6F"/>
    <w:pPr>
      <w:tabs>
        <w:tab w:val="center" w:pos="4513"/>
        <w:tab w:val="right" w:pos="9026"/>
      </w:tabs>
    </w:pPr>
  </w:style>
  <w:style w:type="character" w:customStyle="1" w:styleId="HeaderChar">
    <w:name w:val="Header Char"/>
    <w:basedOn w:val="DefaultParagraphFont"/>
    <w:link w:val="Header"/>
    <w:uiPriority w:val="99"/>
    <w:semiHidden/>
    <w:rsid w:val="00EF4B6F"/>
  </w:style>
  <w:style w:type="paragraph" w:styleId="Footer">
    <w:name w:val="footer"/>
    <w:basedOn w:val="Normal"/>
    <w:link w:val="FooterChar"/>
    <w:uiPriority w:val="99"/>
    <w:semiHidden/>
    <w:unhideWhenUsed/>
    <w:rsid w:val="00EF4B6F"/>
    <w:pPr>
      <w:tabs>
        <w:tab w:val="center" w:pos="4513"/>
        <w:tab w:val="right" w:pos="9026"/>
      </w:tabs>
    </w:pPr>
  </w:style>
  <w:style w:type="character" w:customStyle="1" w:styleId="FooterChar">
    <w:name w:val="Footer Char"/>
    <w:basedOn w:val="DefaultParagraphFont"/>
    <w:link w:val="Footer"/>
    <w:uiPriority w:val="99"/>
    <w:semiHidden/>
    <w:rsid w:val="00EF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648">
      <w:bodyDiv w:val="1"/>
      <w:marLeft w:val="0"/>
      <w:marRight w:val="0"/>
      <w:marTop w:val="0"/>
      <w:marBottom w:val="0"/>
      <w:divBdr>
        <w:top w:val="none" w:sz="0" w:space="0" w:color="auto"/>
        <w:left w:val="none" w:sz="0" w:space="0" w:color="auto"/>
        <w:bottom w:val="none" w:sz="0" w:space="0" w:color="auto"/>
        <w:right w:val="none" w:sz="0" w:space="0" w:color="auto"/>
      </w:divBdr>
    </w:div>
    <w:div w:id="150101572">
      <w:bodyDiv w:val="1"/>
      <w:marLeft w:val="0"/>
      <w:marRight w:val="0"/>
      <w:marTop w:val="0"/>
      <w:marBottom w:val="0"/>
      <w:divBdr>
        <w:top w:val="none" w:sz="0" w:space="0" w:color="auto"/>
        <w:left w:val="none" w:sz="0" w:space="0" w:color="auto"/>
        <w:bottom w:val="none" w:sz="0" w:space="0" w:color="auto"/>
        <w:right w:val="none" w:sz="0" w:space="0" w:color="auto"/>
      </w:divBdr>
      <w:divsChild>
        <w:div w:id="1033457452">
          <w:marLeft w:val="0"/>
          <w:marRight w:val="0"/>
          <w:marTop w:val="0"/>
          <w:marBottom w:val="0"/>
          <w:divBdr>
            <w:top w:val="none" w:sz="0" w:space="0" w:color="auto"/>
            <w:left w:val="none" w:sz="0" w:space="0" w:color="auto"/>
            <w:bottom w:val="none" w:sz="0" w:space="0" w:color="auto"/>
            <w:right w:val="none" w:sz="0" w:space="0" w:color="auto"/>
          </w:divBdr>
          <w:divsChild>
            <w:div w:id="2111578726">
              <w:marLeft w:val="0"/>
              <w:marRight w:val="0"/>
              <w:marTop w:val="0"/>
              <w:marBottom w:val="0"/>
              <w:divBdr>
                <w:top w:val="none" w:sz="0" w:space="0" w:color="auto"/>
                <w:left w:val="none" w:sz="0" w:space="0" w:color="auto"/>
                <w:bottom w:val="none" w:sz="0" w:space="0" w:color="auto"/>
                <w:right w:val="none" w:sz="0" w:space="0" w:color="auto"/>
              </w:divBdr>
            </w:div>
          </w:divsChild>
        </w:div>
        <w:div w:id="917979898">
          <w:marLeft w:val="0"/>
          <w:marRight w:val="0"/>
          <w:marTop w:val="0"/>
          <w:marBottom w:val="0"/>
          <w:divBdr>
            <w:top w:val="none" w:sz="0" w:space="0" w:color="auto"/>
            <w:left w:val="none" w:sz="0" w:space="0" w:color="auto"/>
            <w:bottom w:val="none" w:sz="0" w:space="0" w:color="auto"/>
            <w:right w:val="none" w:sz="0" w:space="0" w:color="auto"/>
          </w:divBdr>
          <w:divsChild>
            <w:div w:id="1655991849">
              <w:marLeft w:val="0"/>
              <w:marRight w:val="0"/>
              <w:marTop w:val="0"/>
              <w:marBottom w:val="0"/>
              <w:divBdr>
                <w:top w:val="none" w:sz="0" w:space="0" w:color="auto"/>
                <w:left w:val="none" w:sz="0" w:space="0" w:color="auto"/>
                <w:bottom w:val="none" w:sz="0" w:space="0" w:color="auto"/>
                <w:right w:val="none" w:sz="0" w:space="0" w:color="auto"/>
              </w:divBdr>
            </w:div>
          </w:divsChild>
        </w:div>
        <w:div w:id="1468402323">
          <w:marLeft w:val="0"/>
          <w:marRight w:val="0"/>
          <w:marTop w:val="0"/>
          <w:marBottom w:val="0"/>
          <w:divBdr>
            <w:top w:val="none" w:sz="0" w:space="0" w:color="auto"/>
            <w:left w:val="none" w:sz="0" w:space="0" w:color="auto"/>
            <w:bottom w:val="none" w:sz="0" w:space="0" w:color="auto"/>
            <w:right w:val="none" w:sz="0" w:space="0" w:color="auto"/>
          </w:divBdr>
          <w:divsChild>
            <w:div w:id="210307475">
              <w:marLeft w:val="0"/>
              <w:marRight w:val="0"/>
              <w:marTop w:val="0"/>
              <w:marBottom w:val="0"/>
              <w:divBdr>
                <w:top w:val="none" w:sz="0" w:space="0" w:color="auto"/>
                <w:left w:val="none" w:sz="0" w:space="0" w:color="auto"/>
                <w:bottom w:val="none" w:sz="0" w:space="0" w:color="auto"/>
                <w:right w:val="none" w:sz="0" w:space="0" w:color="auto"/>
              </w:divBdr>
            </w:div>
          </w:divsChild>
        </w:div>
        <w:div w:id="1877423326">
          <w:marLeft w:val="0"/>
          <w:marRight w:val="0"/>
          <w:marTop w:val="0"/>
          <w:marBottom w:val="0"/>
          <w:divBdr>
            <w:top w:val="none" w:sz="0" w:space="0" w:color="auto"/>
            <w:left w:val="none" w:sz="0" w:space="0" w:color="auto"/>
            <w:bottom w:val="none" w:sz="0" w:space="0" w:color="auto"/>
            <w:right w:val="none" w:sz="0" w:space="0" w:color="auto"/>
          </w:divBdr>
          <w:divsChild>
            <w:div w:id="1131940357">
              <w:marLeft w:val="0"/>
              <w:marRight w:val="0"/>
              <w:marTop w:val="0"/>
              <w:marBottom w:val="0"/>
              <w:divBdr>
                <w:top w:val="none" w:sz="0" w:space="0" w:color="auto"/>
                <w:left w:val="none" w:sz="0" w:space="0" w:color="auto"/>
                <w:bottom w:val="none" w:sz="0" w:space="0" w:color="auto"/>
                <w:right w:val="none" w:sz="0" w:space="0" w:color="auto"/>
              </w:divBdr>
            </w:div>
          </w:divsChild>
        </w:div>
        <w:div w:id="192231003">
          <w:marLeft w:val="0"/>
          <w:marRight w:val="0"/>
          <w:marTop w:val="0"/>
          <w:marBottom w:val="0"/>
          <w:divBdr>
            <w:top w:val="none" w:sz="0" w:space="0" w:color="auto"/>
            <w:left w:val="none" w:sz="0" w:space="0" w:color="auto"/>
            <w:bottom w:val="none" w:sz="0" w:space="0" w:color="auto"/>
            <w:right w:val="none" w:sz="0" w:space="0" w:color="auto"/>
          </w:divBdr>
          <w:divsChild>
            <w:div w:id="798762390">
              <w:marLeft w:val="0"/>
              <w:marRight w:val="0"/>
              <w:marTop w:val="0"/>
              <w:marBottom w:val="0"/>
              <w:divBdr>
                <w:top w:val="none" w:sz="0" w:space="0" w:color="auto"/>
                <w:left w:val="none" w:sz="0" w:space="0" w:color="auto"/>
                <w:bottom w:val="none" w:sz="0" w:space="0" w:color="auto"/>
                <w:right w:val="none" w:sz="0" w:space="0" w:color="auto"/>
              </w:divBdr>
            </w:div>
          </w:divsChild>
        </w:div>
        <w:div w:id="1515610211">
          <w:marLeft w:val="0"/>
          <w:marRight w:val="0"/>
          <w:marTop w:val="0"/>
          <w:marBottom w:val="0"/>
          <w:divBdr>
            <w:top w:val="none" w:sz="0" w:space="0" w:color="auto"/>
            <w:left w:val="none" w:sz="0" w:space="0" w:color="auto"/>
            <w:bottom w:val="none" w:sz="0" w:space="0" w:color="auto"/>
            <w:right w:val="none" w:sz="0" w:space="0" w:color="auto"/>
          </w:divBdr>
          <w:divsChild>
            <w:div w:id="1493788732">
              <w:marLeft w:val="0"/>
              <w:marRight w:val="0"/>
              <w:marTop w:val="0"/>
              <w:marBottom w:val="0"/>
              <w:divBdr>
                <w:top w:val="none" w:sz="0" w:space="0" w:color="auto"/>
                <w:left w:val="none" w:sz="0" w:space="0" w:color="auto"/>
                <w:bottom w:val="none" w:sz="0" w:space="0" w:color="auto"/>
                <w:right w:val="none" w:sz="0" w:space="0" w:color="auto"/>
              </w:divBdr>
            </w:div>
          </w:divsChild>
        </w:div>
        <w:div w:id="524683068">
          <w:marLeft w:val="0"/>
          <w:marRight w:val="0"/>
          <w:marTop w:val="0"/>
          <w:marBottom w:val="0"/>
          <w:divBdr>
            <w:top w:val="none" w:sz="0" w:space="0" w:color="auto"/>
            <w:left w:val="none" w:sz="0" w:space="0" w:color="auto"/>
            <w:bottom w:val="none" w:sz="0" w:space="0" w:color="auto"/>
            <w:right w:val="none" w:sz="0" w:space="0" w:color="auto"/>
          </w:divBdr>
          <w:divsChild>
            <w:div w:id="1798839282">
              <w:marLeft w:val="0"/>
              <w:marRight w:val="0"/>
              <w:marTop w:val="0"/>
              <w:marBottom w:val="0"/>
              <w:divBdr>
                <w:top w:val="none" w:sz="0" w:space="0" w:color="auto"/>
                <w:left w:val="none" w:sz="0" w:space="0" w:color="auto"/>
                <w:bottom w:val="none" w:sz="0" w:space="0" w:color="auto"/>
                <w:right w:val="none" w:sz="0" w:space="0" w:color="auto"/>
              </w:divBdr>
            </w:div>
          </w:divsChild>
        </w:div>
        <w:div w:id="1087728572">
          <w:marLeft w:val="0"/>
          <w:marRight w:val="0"/>
          <w:marTop w:val="0"/>
          <w:marBottom w:val="0"/>
          <w:divBdr>
            <w:top w:val="none" w:sz="0" w:space="0" w:color="auto"/>
            <w:left w:val="none" w:sz="0" w:space="0" w:color="auto"/>
            <w:bottom w:val="none" w:sz="0" w:space="0" w:color="auto"/>
            <w:right w:val="none" w:sz="0" w:space="0" w:color="auto"/>
          </w:divBdr>
          <w:divsChild>
            <w:div w:id="352191426">
              <w:marLeft w:val="0"/>
              <w:marRight w:val="0"/>
              <w:marTop w:val="0"/>
              <w:marBottom w:val="0"/>
              <w:divBdr>
                <w:top w:val="none" w:sz="0" w:space="0" w:color="auto"/>
                <w:left w:val="none" w:sz="0" w:space="0" w:color="auto"/>
                <w:bottom w:val="none" w:sz="0" w:space="0" w:color="auto"/>
                <w:right w:val="none" w:sz="0" w:space="0" w:color="auto"/>
              </w:divBdr>
            </w:div>
          </w:divsChild>
        </w:div>
        <w:div w:id="192615215">
          <w:marLeft w:val="0"/>
          <w:marRight w:val="0"/>
          <w:marTop w:val="0"/>
          <w:marBottom w:val="0"/>
          <w:divBdr>
            <w:top w:val="none" w:sz="0" w:space="0" w:color="auto"/>
            <w:left w:val="none" w:sz="0" w:space="0" w:color="auto"/>
            <w:bottom w:val="none" w:sz="0" w:space="0" w:color="auto"/>
            <w:right w:val="none" w:sz="0" w:space="0" w:color="auto"/>
          </w:divBdr>
          <w:divsChild>
            <w:div w:id="1110585141">
              <w:marLeft w:val="0"/>
              <w:marRight w:val="0"/>
              <w:marTop w:val="0"/>
              <w:marBottom w:val="0"/>
              <w:divBdr>
                <w:top w:val="none" w:sz="0" w:space="0" w:color="auto"/>
                <w:left w:val="none" w:sz="0" w:space="0" w:color="auto"/>
                <w:bottom w:val="none" w:sz="0" w:space="0" w:color="auto"/>
                <w:right w:val="none" w:sz="0" w:space="0" w:color="auto"/>
              </w:divBdr>
            </w:div>
          </w:divsChild>
        </w:div>
        <w:div w:id="1137725110">
          <w:marLeft w:val="0"/>
          <w:marRight w:val="0"/>
          <w:marTop w:val="0"/>
          <w:marBottom w:val="0"/>
          <w:divBdr>
            <w:top w:val="none" w:sz="0" w:space="0" w:color="auto"/>
            <w:left w:val="none" w:sz="0" w:space="0" w:color="auto"/>
            <w:bottom w:val="none" w:sz="0" w:space="0" w:color="auto"/>
            <w:right w:val="none" w:sz="0" w:space="0" w:color="auto"/>
          </w:divBdr>
          <w:divsChild>
            <w:div w:id="2009824430">
              <w:marLeft w:val="0"/>
              <w:marRight w:val="0"/>
              <w:marTop w:val="0"/>
              <w:marBottom w:val="0"/>
              <w:divBdr>
                <w:top w:val="none" w:sz="0" w:space="0" w:color="auto"/>
                <w:left w:val="none" w:sz="0" w:space="0" w:color="auto"/>
                <w:bottom w:val="none" w:sz="0" w:space="0" w:color="auto"/>
                <w:right w:val="none" w:sz="0" w:space="0" w:color="auto"/>
              </w:divBdr>
            </w:div>
          </w:divsChild>
        </w:div>
        <w:div w:id="1143615522">
          <w:marLeft w:val="0"/>
          <w:marRight w:val="0"/>
          <w:marTop w:val="0"/>
          <w:marBottom w:val="0"/>
          <w:divBdr>
            <w:top w:val="none" w:sz="0" w:space="0" w:color="auto"/>
            <w:left w:val="none" w:sz="0" w:space="0" w:color="auto"/>
            <w:bottom w:val="none" w:sz="0" w:space="0" w:color="auto"/>
            <w:right w:val="none" w:sz="0" w:space="0" w:color="auto"/>
          </w:divBdr>
          <w:divsChild>
            <w:div w:id="1308825089">
              <w:marLeft w:val="0"/>
              <w:marRight w:val="0"/>
              <w:marTop w:val="0"/>
              <w:marBottom w:val="0"/>
              <w:divBdr>
                <w:top w:val="none" w:sz="0" w:space="0" w:color="auto"/>
                <w:left w:val="none" w:sz="0" w:space="0" w:color="auto"/>
                <w:bottom w:val="none" w:sz="0" w:space="0" w:color="auto"/>
                <w:right w:val="none" w:sz="0" w:space="0" w:color="auto"/>
              </w:divBdr>
            </w:div>
          </w:divsChild>
        </w:div>
        <w:div w:id="1196114344">
          <w:marLeft w:val="0"/>
          <w:marRight w:val="0"/>
          <w:marTop w:val="0"/>
          <w:marBottom w:val="0"/>
          <w:divBdr>
            <w:top w:val="none" w:sz="0" w:space="0" w:color="auto"/>
            <w:left w:val="none" w:sz="0" w:space="0" w:color="auto"/>
            <w:bottom w:val="none" w:sz="0" w:space="0" w:color="auto"/>
            <w:right w:val="none" w:sz="0" w:space="0" w:color="auto"/>
          </w:divBdr>
          <w:divsChild>
            <w:div w:id="558979831">
              <w:marLeft w:val="0"/>
              <w:marRight w:val="0"/>
              <w:marTop w:val="0"/>
              <w:marBottom w:val="0"/>
              <w:divBdr>
                <w:top w:val="none" w:sz="0" w:space="0" w:color="auto"/>
                <w:left w:val="none" w:sz="0" w:space="0" w:color="auto"/>
                <w:bottom w:val="none" w:sz="0" w:space="0" w:color="auto"/>
                <w:right w:val="none" w:sz="0" w:space="0" w:color="auto"/>
              </w:divBdr>
            </w:div>
          </w:divsChild>
        </w:div>
        <w:div w:id="1819372226">
          <w:marLeft w:val="0"/>
          <w:marRight w:val="0"/>
          <w:marTop w:val="0"/>
          <w:marBottom w:val="0"/>
          <w:divBdr>
            <w:top w:val="none" w:sz="0" w:space="0" w:color="auto"/>
            <w:left w:val="none" w:sz="0" w:space="0" w:color="auto"/>
            <w:bottom w:val="none" w:sz="0" w:space="0" w:color="auto"/>
            <w:right w:val="none" w:sz="0" w:space="0" w:color="auto"/>
          </w:divBdr>
          <w:divsChild>
            <w:div w:id="1898277017">
              <w:marLeft w:val="0"/>
              <w:marRight w:val="0"/>
              <w:marTop w:val="0"/>
              <w:marBottom w:val="0"/>
              <w:divBdr>
                <w:top w:val="none" w:sz="0" w:space="0" w:color="auto"/>
                <w:left w:val="none" w:sz="0" w:space="0" w:color="auto"/>
                <w:bottom w:val="none" w:sz="0" w:space="0" w:color="auto"/>
                <w:right w:val="none" w:sz="0" w:space="0" w:color="auto"/>
              </w:divBdr>
            </w:div>
          </w:divsChild>
        </w:div>
        <w:div w:id="346559160">
          <w:marLeft w:val="0"/>
          <w:marRight w:val="0"/>
          <w:marTop w:val="0"/>
          <w:marBottom w:val="0"/>
          <w:divBdr>
            <w:top w:val="none" w:sz="0" w:space="0" w:color="auto"/>
            <w:left w:val="none" w:sz="0" w:space="0" w:color="auto"/>
            <w:bottom w:val="none" w:sz="0" w:space="0" w:color="auto"/>
            <w:right w:val="none" w:sz="0" w:space="0" w:color="auto"/>
          </w:divBdr>
          <w:divsChild>
            <w:div w:id="1185367973">
              <w:marLeft w:val="0"/>
              <w:marRight w:val="0"/>
              <w:marTop w:val="0"/>
              <w:marBottom w:val="0"/>
              <w:divBdr>
                <w:top w:val="none" w:sz="0" w:space="0" w:color="auto"/>
                <w:left w:val="none" w:sz="0" w:space="0" w:color="auto"/>
                <w:bottom w:val="none" w:sz="0" w:space="0" w:color="auto"/>
                <w:right w:val="none" w:sz="0" w:space="0" w:color="auto"/>
              </w:divBdr>
            </w:div>
          </w:divsChild>
        </w:div>
        <w:div w:id="883755551">
          <w:marLeft w:val="0"/>
          <w:marRight w:val="0"/>
          <w:marTop w:val="0"/>
          <w:marBottom w:val="0"/>
          <w:divBdr>
            <w:top w:val="none" w:sz="0" w:space="0" w:color="auto"/>
            <w:left w:val="none" w:sz="0" w:space="0" w:color="auto"/>
            <w:bottom w:val="none" w:sz="0" w:space="0" w:color="auto"/>
            <w:right w:val="none" w:sz="0" w:space="0" w:color="auto"/>
          </w:divBdr>
          <w:divsChild>
            <w:div w:id="553320606">
              <w:marLeft w:val="0"/>
              <w:marRight w:val="0"/>
              <w:marTop w:val="0"/>
              <w:marBottom w:val="0"/>
              <w:divBdr>
                <w:top w:val="none" w:sz="0" w:space="0" w:color="auto"/>
                <w:left w:val="none" w:sz="0" w:space="0" w:color="auto"/>
                <w:bottom w:val="none" w:sz="0" w:space="0" w:color="auto"/>
                <w:right w:val="none" w:sz="0" w:space="0" w:color="auto"/>
              </w:divBdr>
            </w:div>
          </w:divsChild>
        </w:div>
        <w:div w:id="2006786560">
          <w:marLeft w:val="0"/>
          <w:marRight w:val="0"/>
          <w:marTop w:val="0"/>
          <w:marBottom w:val="0"/>
          <w:divBdr>
            <w:top w:val="none" w:sz="0" w:space="0" w:color="auto"/>
            <w:left w:val="none" w:sz="0" w:space="0" w:color="auto"/>
            <w:bottom w:val="none" w:sz="0" w:space="0" w:color="auto"/>
            <w:right w:val="none" w:sz="0" w:space="0" w:color="auto"/>
          </w:divBdr>
          <w:divsChild>
            <w:div w:id="1643846768">
              <w:marLeft w:val="0"/>
              <w:marRight w:val="0"/>
              <w:marTop w:val="0"/>
              <w:marBottom w:val="0"/>
              <w:divBdr>
                <w:top w:val="none" w:sz="0" w:space="0" w:color="auto"/>
                <w:left w:val="none" w:sz="0" w:space="0" w:color="auto"/>
                <w:bottom w:val="none" w:sz="0" w:space="0" w:color="auto"/>
                <w:right w:val="none" w:sz="0" w:space="0" w:color="auto"/>
              </w:divBdr>
            </w:div>
          </w:divsChild>
        </w:div>
        <w:div w:id="389034809">
          <w:marLeft w:val="0"/>
          <w:marRight w:val="0"/>
          <w:marTop w:val="0"/>
          <w:marBottom w:val="0"/>
          <w:divBdr>
            <w:top w:val="none" w:sz="0" w:space="0" w:color="auto"/>
            <w:left w:val="none" w:sz="0" w:space="0" w:color="auto"/>
            <w:bottom w:val="none" w:sz="0" w:space="0" w:color="auto"/>
            <w:right w:val="none" w:sz="0" w:space="0" w:color="auto"/>
          </w:divBdr>
          <w:divsChild>
            <w:div w:id="1889340844">
              <w:marLeft w:val="0"/>
              <w:marRight w:val="0"/>
              <w:marTop w:val="0"/>
              <w:marBottom w:val="0"/>
              <w:divBdr>
                <w:top w:val="none" w:sz="0" w:space="0" w:color="auto"/>
                <w:left w:val="none" w:sz="0" w:space="0" w:color="auto"/>
                <w:bottom w:val="none" w:sz="0" w:space="0" w:color="auto"/>
                <w:right w:val="none" w:sz="0" w:space="0" w:color="auto"/>
              </w:divBdr>
            </w:div>
          </w:divsChild>
        </w:div>
        <w:div w:id="837118286">
          <w:marLeft w:val="0"/>
          <w:marRight w:val="0"/>
          <w:marTop w:val="0"/>
          <w:marBottom w:val="0"/>
          <w:divBdr>
            <w:top w:val="none" w:sz="0" w:space="0" w:color="auto"/>
            <w:left w:val="none" w:sz="0" w:space="0" w:color="auto"/>
            <w:bottom w:val="none" w:sz="0" w:space="0" w:color="auto"/>
            <w:right w:val="none" w:sz="0" w:space="0" w:color="auto"/>
          </w:divBdr>
          <w:divsChild>
            <w:div w:id="920064886">
              <w:marLeft w:val="0"/>
              <w:marRight w:val="0"/>
              <w:marTop w:val="0"/>
              <w:marBottom w:val="0"/>
              <w:divBdr>
                <w:top w:val="none" w:sz="0" w:space="0" w:color="auto"/>
                <w:left w:val="none" w:sz="0" w:space="0" w:color="auto"/>
                <w:bottom w:val="none" w:sz="0" w:space="0" w:color="auto"/>
                <w:right w:val="none" w:sz="0" w:space="0" w:color="auto"/>
              </w:divBdr>
            </w:div>
          </w:divsChild>
        </w:div>
        <w:div w:id="1347054770">
          <w:marLeft w:val="0"/>
          <w:marRight w:val="0"/>
          <w:marTop w:val="0"/>
          <w:marBottom w:val="0"/>
          <w:divBdr>
            <w:top w:val="none" w:sz="0" w:space="0" w:color="auto"/>
            <w:left w:val="none" w:sz="0" w:space="0" w:color="auto"/>
            <w:bottom w:val="none" w:sz="0" w:space="0" w:color="auto"/>
            <w:right w:val="none" w:sz="0" w:space="0" w:color="auto"/>
          </w:divBdr>
          <w:divsChild>
            <w:div w:id="28723747">
              <w:marLeft w:val="0"/>
              <w:marRight w:val="0"/>
              <w:marTop w:val="0"/>
              <w:marBottom w:val="0"/>
              <w:divBdr>
                <w:top w:val="none" w:sz="0" w:space="0" w:color="auto"/>
                <w:left w:val="none" w:sz="0" w:space="0" w:color="auto"/>
                <w:bottom w:val="none" w:sz="0" w:space="0" w:color="auto"/>
                <w:right w:val="none" w:sz="0" w:space="0" w:color="auto"/>
              </w:divBdr>
            </w:div>
          </w:divsChild>
        </w:div>
        <w:div w:id="1076824517">
          <w:marLeft w:val="0"/>
          <w:marRight w:val="0"/>
          <w:marTop w:val="0"/>
          <w:marBottom w:val="0"/>
          <w:divBdr>
            <w:top w:val="none" w:sz="0" w:space="0" w:color="auto"/>
            <w:left w:val="none" w:sz="0" w:space="0" w:color="auto"/>
            <w:bottom w:val="none" w:sz="0" w:space="0" w:color="auto"/>
            <w:right w:val="none" w:sz="0" w:space="0" w:color="auto"/>
          </w:divBdr>
          <w:divsChild>
            <w:div w:id="319387207">
              <w:marLeft w:val="0"/>
              <w:marRight w:val="0"/>
              <w:marTop w:val="0"/>
              <w:marBottom w:val="0"/>
              <w:divBdr>
                <w:top w:val="none" w:sz="0" w:space="0" w:color="auto"/>
                <w:left w:val="none" w:sz="0" w:space="0" w:color="auto"/>
                <w:bottom w:val="none" w:sz="0" w:space="0" w:color="auto"/>
                <w:right w:val="none" w:sz="0" w:space="0" w:color="auto"/>
              </w:divBdr>
            </w:div>
          </w:divsChild>
        </w:div>
        <w:div w:id="347297244">
          <w:marLeft w:val="0"/>
          <w:marRight w:val="0"/>
          <w:marTop w:val="0"/>
          <w:marBottom w:val="0"/>
          <w:divBdr>
            <w:top w:val="none" w:sz="0" w:space="0" w:color="auto"/>
            <w:left w:val="none" w:sz="0" w:space="0" w:color="auto"/>
            <w:bottom w:val="none" w:sz="0" w:space="0" w:color="auto"/>
            <w:right w:val="none" w:sz="0" w:space="0" w:color="auto"/>
          </w:divBdr>
          <w:divsChild>
            <w:div w:id="1418554696">
              <w:marLeft w:val="0"/>
              <w:marRight w:val="0"/>
              <w:marTop w:val="0"/>
              <w:marBottom w:val="0"/>
              <w:divBdr>
                <w:top w:val="none" w:sz="0" w:space="0" w:color="auto"/>
                <w:left w:val="none" w:sz="0" w:space="0" w:color="auto"/>
                <w:bottom w:val="none" w:sz="0" w:space="0" w:color="auto"/>
                <w:right w:val="none" w:sz="0" w:space="0" w:color="auto"/>
              </w:divBdr>
            </w:div>
          </w:divsChild>
        </w:div>
        <w:div w:id="542790460">
          <w:marLeft w:val="0"/>
          <w:marRight w:val="0"/>
          <w:marTop w:val="0"/>
          <w:marBottom w:val="0"/>
          <w:divBdr>
            <w:top w:val="none" w:sz="0" w:space="0" w:color="auto"/>
            <w:left w:val="none" w:sz="0" w:space="0" w:color="auto"/>
            <w:bottom w:val="none" w:sz="0" w:space="0" w:color="auto"/>
            <w:right w:val="none" w:sz="0" w:space="0" w:color="auto"/>
          </w:divBdr>
          <w:divsChild>
            <w:div w:id="182401516">
              <w:marLeft w:val="0"/>
              <w:marRight w:val="0"/>
              <w:marTop w:val="0"/>
              <w:marBottom w:val="0"/>
              <w:divBdr>
                <w:top w:val="none" w:sz="0" w:space="0" w:color="auto"/>
                <w:left w:val="none" w:sz="0" w:space="0" w:color="auto"/>
                <w:bottom w:val="none" w:sz="0" w:space="0" w:color="auto"/>
                <w:right w:val="none" w:sz="0" w:space="0" w:color="auto"/>
              </w:divBdr>
            </w:div>
          </w:divsChild>
        </w:div>
        <w:div w:id="1199858921">
          <w:marLeft w:val="0"/>
          <w:marRight w:val="0"/>
          <w:marTop w:val="0"/>
          <w:marBottom w:val="0"/>
          <w:divBdr>
            <w:top w:val="none" w:sz="0" w:space="0" w:color="auto"/>
            <w:left w:val="none" w:sz="0" w:space="0" w:color="auto"/>
            <w:bottom w:val="none" w:sz="0" w:space="0" w:color="auto"/>
            <w:right w:val="none" w:sz="0" w:space="0" w:color="auto"/>
          </w:divBdr>
          <w:divsChild>
            <w:div w:id="1360088605">
              <w:marLeft w:val="0"/>
              <w:marRight w:val="0"/>
              <w:marTop w:val="0"/>
              <w:marBottom w:val="0"/>
              <w:divBdr>
                <w:top w:val="none" w:sz="0" w:space="0" w:color="auto"/>
                <w:left w:val="none" w:sz="0" w:space="0" w:color="auto"/>
                <w:bottom w:val="none" w:sz="0" w:space="0" w:color="auto"/>
                <w:right w:val="none" w:sz="0" w:space="0" w:color="auto"/>
              </w:divBdr>
            </w:div>
          </w:divsChild>
        </w:div>
        <w:div w:id="1598560866">
          <w:marLeft w:val="0"/>
          <w:marRight w:val="0"/>
          <w:marTop w:val="0"/>
          <w:marBottom w:val="0"/>
          <w:divBdr>
            <w:top w:val="none" w:sz="0" w:space="0" w:color="auto"/>
            <w:left w:val="none" w:sz="0" w:space="0" w:color="auto"/>
            <w:bottom w:val="none" w:sz="0" w:space="0" w:color="auto"/>
            <w:right w:val="none" w:sz="0" w:space="0" w:color="auto"/>
          </w:divBdr>
          <w:divsChild>
            <w:div w:id="1372923962">
              <w:marLeft w:val="0"/>
              <w:marRight w:val="0"/>
              <w:marTop w:val="0"/>
              <w:marBottom w:val="0"/>
              <w:divBdr>
                <w:top w:val="none" w:sz="0" w:space="0" w:color="auto"/>
                <w:left w:val="none" w:sz="0" w:space="0" w:color="auto"/>
                <w:bottom w:val="none" w:sz="0" w:space="0" w:color="auto"/>
                <w:right w:val="none" w:sz="0" w:space="0" w:color="auto"/>
              </w:divBdr>
            </w:div>
          </w:divsChild>
        </w:div>
        <w:div w:id="403455427">
          <w:marLeft w:val="0"/>
          <w:marRight w:val="0"/>
          <w:marTop w:val="0"/>
          <w:marBottom w:val="0"/>
          <w:divBdr>
            <w:top w:val="none" w:sz="0" w:space="0" w:color="auto"/>
            <w:left w:val="none" w:sz="0" w:space="0" w:color="auto"/>
            <w:bottom w:val="none" w:sz="0" w:space="0" w:color="auto"/>
            <w:right w:val="none" w:sz="0" w:space="0" w:color="auto"/>
          </w:divBdr>
          <w:divsChild>
            <w:div w:id="735586851">
              <w:marLeft w:val="0"/>
              <w:marRight w:val="0"/>
              <w:marTop w:val="0"/>
              <w:marBottom w:val="0"/>
              <w:divBdr>
                <w:top w:val="none" w:sz="0" w:space="0" w:color="auto"/>
                <w:left w:val="none" w:sz="0" w:space="0" w:color="auto"/>
                <w:bottom w:val="none" w:sz="0" w:space="0" w:color="auto"/>
                <w:right w:val="none" w:sz="0" w:space="0" w:color="auto"/>
              </w:divBdr>
            </w:div>
          </w:divsChild>
        </w:div>
        <w:div w:id="8259640">
          <w:marLeft w:val="0"/>
          <w:marRight w:val="0"/>
          <w:marTop w:val="0"/>
          <w:marBottom w:val="0"/>
          <w:divBdr>
            <w:top w:val="none" w:sz="0" w:space="0" w:color="auto"/>
            <w:left w:val="none" w:sz="0" w:space="0" w:color="auto"/>
            <w:bottom w:val="none" w:sz="0" w:space="0" w:color="auto"/>
            <w:right w:val="none" w:sz="0" w:space="0" w:color="auto"/>
          </w:divBdr>
          <w:divsChild>
            <w:div w:id="121534169">
              <w:marLeft w:val="0"/>
              <w:marRight w:val="0"/>
              <w:marTop w:val="0"/>
              <w:marBottom w:val="0"/>
              <w:divBdr>
                <w:top w:val="none" w:sz="0" w:space="0" w:color="auto"/>
                <w:left w:val="none" w:sz="0" w:space="0" w:color="auto"/>
                <w:bottom w:val="none" w:sz="0" w:space="0" w:color="auto"/>
                <w:right w:val="none" w:sz="0" w:space="0" w:color="auto"/>
              </w:divBdr>
            </w:div>
          </w:divsChild>
        </w:div>
        <w:div w:id="2060325401">
          <w:marLeft w:val="0"/>
          <w:marRight w:val="0"/>
          <w:marTop w:val="0"/>
          <w:marBottom w:val="0"/>
          <w:divBdr>
            <w:top w:val="none" w:sz="0" w:space="0" w:color="auto"/>
            <w:left w:val="none" w:sz="0" w:space="0" w:color="auto"/>
            <w:bottom w:val="none" w:sz="0" w:space="0" w:color="auto"/>
            <w:right w:val="none" w:sz="0" w:space="0" w:color="auto"/>
          </w:divBdr>
          <w:divsChild>
            <w:div w:id="1419521764">
              <w:marLeft w:val="0"/>
              <w:marRight w:val="0"/>
              <w:marTop w:val="0"/>
              <w:marBottom w:val="0"/>
              <w:divBdr>
                <w:top w:val="none" w:sz="0" w:space="0" w:color="auto"/>
                <w:left w:val="none" w:sz="0" w:space="0" w:color="auto"/>
                <w:bottom w:val="none" w:sz="0" w:space="0" w:color="auto"/>
                <w:right w:val="none" w:sz="0" w:space="0" w:color="auto"/>
              </w:divBdr>
            </w:div>
          </w:divsChild>
        </w:div>
        <w:div w:id="299923180">
          <w:marLeft w:val="0"/>
          <w:marRight w:val="0"/>
          <w:marTop w:val="0"/>
          <w:marBottom w:val="0"/>
          <w:divBdr>
            <w:top w:val="none" w:sz="0" w:space="0" w:color="auto"/>
            <w:left w:val="none" w:sz="0" w:space="0" w:color="auto"/>
            <w:bottom w:val="none" w:sz="0" w:space="0" w:color="auto"/>
            <w:right w:val="none" w:sz="0" w:space="0" w:color="auto"/>
          </w:divBdr>
          <w:divsChild>
            <w:div w:id="1343819654">
              <w:marLeft w:val="0"/>
              <w:marRight w:val="0"/>
              <w:marTop w:val="0"/>
              <w:marBottom w:val="0"/>
              <w:divBdr>
                <w:top w:val="none" w:sz="0" w:space="0" w:color="auto"/>
                <w:left w:val="none" w:sz="0" w:space="0" w:color="auto"/>
                <w:bottom w:val="none" w:sz="0" w:space="0" w:color="auto"/>
                <w:right w:val="none" w:sz="0" w:space="0" w:color="auto"/>
              </w:divBdr>
            </w:div>
          </w:divsChild>
        </w:div>
        <w:div w:id="1160927969">
          <w:marLeft w:val="0"/>
          <w:marRight w:val="0"/>
          <w:marTop w:val="0"/>
          <w:marBottom w:val="0"/>
          <w:divBdr>
            <w:top w:val="none" w:sz="0" w:space="0" w:color="auto"/>
            <w:left w:val="none" w:sz="0" w:space="0" w:color="auto"/>
            <w:bottom w:val="none" w:sz="0" w:space="0" w:color="auto"/>
            <w:right w:val="none" w:sz="0" w:space="0" w:color="auto"/>
          </w:divBdr>
          <w:divsChild>
            <w:div w:id="1910000330">
              <w:marLeft w:val="0"/>
              <w:marRight w:val="0"/>
              <w:marTop w:val="0"/>
              <w:marBottom w:val="0"/>
              <w:divBdr>
                <w:top w:val="none" w:sz="0" w:space="0" w:color="auto"/>
                <w:left w:val="none" w:sz="0" w:space="0" w:color="auto"/>
                <w:bottom w:val="none" w:sz="0" w:space="0" w:color="auto"/>
                <w:right w:val="none" w:sz="0" w:space="0" w:color="auto"/>
              </w:divBdr>
            </w:div>
          </w:divsChild>
        </w:div>
        <w:div w:id="543098430">
          <w:marLeft w:val="0"/>
          <w:marRight w:val="0"/>
          <w:marTop w:val="0"/>
          <w:marBottom w:val="0"/>
          <w:divBdr>
            <w:top w:val="none" w:sz="0" w:space="0" w:color="auto"/>
            <w:left w:val="none" w:sz="0" w:space="0" w:color="auto"/>
            <w:bottom w:val="none" w:sz="0" w:space="0" w:color="auto"/>
            <w:right w:val="none" w:sz="0" w:space="0" w:color="auto"/>
          </w:divBdr>
          <w:divsChild>
            <w:div w:id="4951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2540">
      <w:bodyDiv w:val="1"/>
      <w:marLeft w:val="0"/>
      <w:marRight w:val="0"/>
      <w:marTop w:val="0"/>
      <w:marBottom w:val="0"/>
      <w:divBdr>
        <w:top w:val="none" w:sz="0" w:space="0" w:color="auto"/>
        <w:left w:val="none" w:sz="0" w:space="0" w:color="auto"/>
        <w:bottom w:val="none" w:sz="0" w:space="0" w:color="auto"/>
        <w:right w:val="none" w:sz="0" w:space="0" w:color="auto"/>
      </w:divBdr>
      <w:divsChild>
        <w:div w:id="71516057">
          <w:marLeft w:val="0"/>
          <w:marRight w:val="0"/>
          <w:marTop w:val="0"/>
          <w:marBottom w:val="0"/>
          <w:divBdr>
            <w:top w:val="none" w:sz="0" w:space="0" w:color="auto"/>
            <w:left w:val="none" w:sz="0" w:space="0" w:color="auto"/>
            <w:bottom w:val="none" w:sz="0" w:space="0" w:color="auto"/>
            <w:right w:val="none" w:sz="0" w:space="0" w:color="auto"/>
          </w:divBdr>
        </w:div>
        <w:div w:id="1574122386">
          <w:marLeft w:val="0"/>
          <w:marRight w:val="0"/>
          <w:marTop w:val="0"/>
          <w:marBottom w:val="0"/>
          <w:divBdr>
            <w:top w:val="none" w:sz="0" w:space="0" w:color="auto"/>
            <w:left w:val="none" w:sz="0" w:space="0" w:color="auto"/>
            <w:bottom w:val="none" w:sz="0" w:space="0" w:color="auto"/>
            <w:right w:val="none" w:sz="0" w:space="0" w:color="auto"/>
          </w:divBdr>
        </w:div>
        <w:div w:id="1834251856">
          <w:marLeft w:val="0"/>
          <w:marRight w:val="0"/>
          <w:marTop w:val="0"/>
          <w:marBottom w:val="0"/>
          <w:divBdr>
            <w:top w:val="none" w:sz="0" w:space="0" w:color="auto"/>
            <w:left w:val="none" w:sz="0" w:space="0" w:color="auto"/>
            <w:bottom w:val="none" w:sz="0" w:space="0" w:color="auto"/>
            <w:right w:val="none" w:sz="0" w:space="0" w:color="auto"/>
          </w:divBdr>
        </w:div>
      </w:divsChild>
    </w:div>
    <w:div w:id="1202401532">
      <w:bodyDiv w:val="1"/>
      <w:marLeft w:val="0"/>
      <w:marRight w:val="0"/>
      <w:marTop w:val="0"/>
      <w:marBottom w:val="0"/>
      <w:divBdr>
        <w:top w:val="none" w:sz="0" w:space="0" w:color="auto"/>
        <w:left w:val="none" w:sz="0" w:space="0" w:color="auto"/>
        <w:bottom w:val="none" w:sz="0" w:space="0" w:color="auto"/>
        <w:right w:val="none" w:sz="0" w:space="0" w:color="auto"/>
      </w:divBdr>
      <w:divsChild>
        <w:div w:id="1338575786">
          <w:marLeft w:val="0"/>
          <w:marRight w:val="0"/>
          <w:marTop w:val="0"/>
          <w:marBottom w:val="0"/>
          <w:divBdr>
            <w:top w:val="none" w:sz="0" w:space="0" w:color="auto"/>
            <w:left w:val="none" w:sz="0" w:space="0" w:color="auto"/>
            <w:bottom w:val="none" w:sz="0" w:space="0" w:color="auto"/>
            <w:right w:val="none" w:sz="0" w:space="0" w:color="auto"/>
          </w:divBdr>
        </w:div>
        <w:div w:id="128598750">
          <w:marLeft w:val="0"/>
          <w:marRight w:val="0"/>
          <w:marTop w:val="0"/>
          <w:marBottom w:val="0"/>
          <w:divBdr>
            <w:top w:val="none" w:sz="0" w:space="0" w:color="auto"/>
            <w:left w:val="none" w:sz="0" w:space="0" w:color="auto"/>
            <w:bottom w:val="none" w:sz="0" w:space="0" w:color="auto"/>
            <w:right w:val="none" w:sz="0" w:space="0" w:color="auto"/>
          </w:divBdr>
        </w:div>
      </w:divsChild>
    </w:div>
    <w:div w:id="1379667745">
      <w:bodyDiv w:val="1"/>
      <w:marLeft w:val="0"/>
      <w:marRight w:val="0"/>
      <w:marTop w:val="0"/>
      <w:marBottom w:val="0"/>
      <w:divBdr>
        <w:top w:val="none" w:sz="0" w:space="0" w:color="auto"/>
        <w:left w:val="none" w:sz="0" w:space="0" w:color="auto"/>
        <w:bottom w:val="none" w:sz="0" w:space="0" w:color="auto"/>
        <w:right w:val="none" w:sz="0" w:space="0" w:color="auto"/>
      </w:divBdr>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155652097">
          <w:marLeft w:val="0"/>
          <w:marRight w:val="0"/>
          <w:marTop w:val="0"/>
          <w:marBottom w:val="0"/>
          <w:divBdr>
            <w:top w:val="none" w:sz="0" w:space="0" w:color="auto"/>
            <w:left w:val="none" w:sz="0" w:space="0" w:color="auto"/>
            <w:bottom w:val="none" w:sz="0" w:space="0" w:color="auto"/>
            <w:right w:val="none" w:sz="0" w:space="0" w:color="auto"/>
          </w:divBdr>
        </w:div>
        <w:div w:id="2084059187">
          <w:marLeft w:val="0"/>
          <w:marRight w:val="0"/>
          <w:marTop w:val="0"/>
          <w:marBottom w:val="0"/>
          <w:divBdr>
            <w:top w:val="none" w:sz="0" w:space="0" w:color="auto"/>
            <w:left w:val="none" w:sz="0" w:space="0" w:color="auto"/>
            <w:bottom w:val="none" w:sz="0" w:space="0" w:color="auto"/>
            <w:right w:val="none" w:sz="0" w:space="0" w:color="auto"/>
          </w:divBdr>
        </w:div>
        <w:div w:id="136651337">
          <w:marLeft w:val="0"/>
          <w:marRight w:val="0"/>
          <w:marTop w:val="0"/>
          <w:marBottom w:val="0"/>
          <w:divBdr>
            <w:top w:val="none" w:sz="0" w:space="0" w:color="auto"/>
            <w:left w:val="none" w:sz="0" w:space="0" w:color="auto"/>
            <w:bottom w:val="none" w:sz="0" w:space="0" w:color="auto"/>
            <w:right w:val="none" w:sz="0" w:space="0" w:color="auto"/>
          </w:divBdr>
        </w:div>
      </w:divsChild>
    </w:div>
    <w:div w:id="1560702244">
      <w:bodyDiv w:val="1"/>
      <w:marLeft w:val="0"/>
      <w:marRight w:val="0"/>
      <w:marTop w:val="0"/>
      <w:marBottom w:val="0"/>
      <w:divBdr>
        <w:top w:val="none" w:sz="0" w:space="0" w:color="auto"/>
        <w:left w:val="none" w:sz="0" w:space="0" w:color="auto"/>
        <w:bottom w:val="none" w:sz="0" w:space="0" w:color="auto"/>
        <w:right w:val="none" w:sz="0" w:space="0" w:color="auto"/>
      </w:divBdr>
      <w:divsChild>
        <w:div w:id="264004757">
          <w:marLeft w:val="0"/>
          <w:marRight w:val="0"/>
          <w:marTop w:val="0"/>
          <w:marBottom w:val="0"/>
          <w:divBdr>
            <w:top w:val="none" w:sz="0" w:space="0" w:color="auto"/>
            <w:left w:val="none" w:sz="0" w:space="0" w:color="auto"/>
            <w:bottom w:val="none" w:sz="0" w:space="0" w:color="auto"/>
            <w:right w:val="none" w:sz="0" w:space="0" w:color="auto"/>
          </w:divBdr>
        </w:div>
        <w:div w:id="1160536877">
          <w:marLeft w:val="0"/>
          <w:marRight w:val="0"/>
          <w:marTop w:val="0"/>
          <w:marBottom w:val="0"/>
          <w:divBdr>
            <w:top w:val="none" w:sz="0" w:space="0" w:color="auto"/>
            <w:left w:val="none" w:sz="0" w:space="0" w:color="auto"/>
            <w:bottom w:val="none" w:sz="0" w:space="0" w:color="auto"/>
            <w:right w:val="none" w:sz="0" w:space="0" w:color="auto"/>
          </w:divBdr>
        </w:div>
      </w:divsChild>
    </w:div>
    <w:div w:id="1644892734">
      <w:bodyDiv w:val="1"/>
      <w:marLeft w:val="0"/>
      <w:marRight w:val="0"/>
      <w:marTop w:val="0"/>
      <w:marBottom w:val="0"/>
      <w:divBdr>
        <w:top w:val="none" w:sz="0" w:space="0" w:color="auto"/>
        <w:left w:val="none" w:sz="0" w:space="0" w:color="auto"/>
        <w:bottom w:val="none" w:sz="0" w:space="0" w:color="auto"/>
        <w:right w:val="none" w:sz="0" w:space="0" w:color="auto"/>
      </w:divBdr>
    </w:div>
    <w:div w:id="1654135997">
      <w:bodyDiv w:val="1"/>
      <w:marLeft w:val="0"/>
      <w:marRight w:val="0"/>
      <w:marTop w:val="0"/>
      <w:marBottom w:val="0"/>
      <w:divBdr>
        <w:top w:val="none" w:sz="0" w:space="0" w:color="auto"/>
        <w:left w:val="none" w:sz="0" w:space="0" w:color="auto"/>
        <w:bottom w:val="none" w:sz="0" w:space="0" w:color="auto"/>
        <w:right w:val="none" w:sz="0" w:space="0" w:color="auto"/>
      </w:divBdr>
      <w:divsChild>
        <w:div w:id="1748651073">
          <w:marLeft w:val="0"/>
          <w:marRight w:val="0"/>
          <w:marTop w:val="0"/>
          <w:marBottom w:val="0"/>
          <w:divBdr>
            <w:top w:val="none" w:sz="0" w:space="0" w:color="auto"/>
            <w:left w:val="none" w:sz="0" w:space="0" w:color="auto"/>
            <w:bottom w:val="none" w:sz="0" w:space="0" w:color="auto"/>
            <w:right w:val="none" w:sz="0" w:space="0" w:color="auto"/>
          </w:divBdr>
          <w:divsChild>
            <w:div w:id="2013096773">
              <w:marLeft w:val="0"/>
              <w:marRight w:val="0"/>
              <w:marTop w:val="0"/>
              <w:marBottom w:val="0"/>
              <w:divBdr>
                <w:top w:val="none" w:sz="0" w:space="0" w:color="auto"/>
                <w:left w:val="none" w:sz="0" w:space="0" w:color="auto"/>
                <w:bottom w:val="none" w:sz="0" w:space="0" w:color="auto"/>
                <w:right w:val="none" w:sz="0" w:space="0" w:color="auto"/>
              </w:divBdr>
            </w:div>
          </w:divsChild>
        </w:div>
        <w:div w:id="1924413498">
          <w:marLeft w:val="0"/>
          <w:marRight w:val="0"/>
          <w:marTop w:val="0"/>
          <w:marBottom w:val="0"/>
          <w:divBdr>
            <w:top w:val="none" w:sz="0" w:space="0" w:color="auto"/>
            <w:left w:val="none" w:sz="0" w:space="0" w:color="auto"/>
            <w:bottom w:val="none" w:sz="0" w:space="0" w:color="auto"/>
            <w:right w:val="none" w:sz="0" w:space="0" w:color="auto"/>
          </w:divBdr>
          <w:divsChild>
            <w:div w:id="1699433597">
              <w:marLeft w:val="0"/>
              <w:marRight w:val="0"/>
              <w:marTop w:val="0"/>
              <w:marBottom w:val="0"/>
              <w:divBdr>
                <w:top w:val="none" w:sz="0" w:space="0" w:color="auto"/>
                <w:left w:val="none" w:sz="0" w:space="0" w:color="auto"/>
                <w:bottom w:val="none" w:sz="0" w:space="0" w:color="auto"/>
                <w:right w:val="none" w:sz="0" w:space="0" w:color="auto"/>
              </w:divBdr>
            </w:div>
          </w:divsChild>
        </w:div>
        <w:div w:id="1252855574">
          <w:marLeft w:val="0"/>
          <w:marRight w:val="0"/>
          <w:marTop w:val="0"/>
          <w:marBottom w:val="0"/>
          <w:divBdr>
            <w:top w:val="none" w:sz="0" w:space="0" w:color="auto"/>
            <w:left w:val="none" w:sz="0" w:space="0" w:color="auto"/>
            <w:bottom w:val="none" w:sz="0" w:space="0" w:color="auto"/>
            <w:right w:val="none" w:sz="0" w:space="0" w:color="auto"/>
          </w:divBdr>
          <w:divsChild>
            <w:div w:id="848178151">
              <w:marLeft w:val="0"/>
              <w:marRight w:val="0"/>
              <w:marTop w:val="0"/>
              <w:marBottom w:val="0"/>
              <w:divBdr>
                <w:top w:val="none" w:sz="0" w:space="0" w:color="auto"/>
                <w:left w:val="none" w:sz="0" w:space="0" w:color="auto"/>
                <w:bottom w:val="none" w:sz="0" w:space="0" w:color="auto"/>
                <w:right w:val="none" w:sz="0" w:space="0" w:color="auto"/>
              </w:divBdr>
            </w:div>
          </w:divsChild>
        </w:div>
        <w:div w:id="453911485">
          <w:marLeft w:val="0"/>
          <w:marRight w:val="0"/>
          <w:marTop w:val="0"/>
          <w:marBottom w:val="0"/>
          <w:divBdr>
            <w:top w:val="none" w:sz="0" w:space="0" w:color="auto"/>
            <w:left w:val="none" w:sz="0" w:space="0" w:color="auto"/>
            <w:bottom w:val="none" w:sz="0" w:space="0" w:color="auto"/>
            <w:right w:val="none" w:sz="0" w:space="0" w:color="auto"/>
          </w:divBdr>
          <w:divsChild>
            <w:div w:id="1029182169">
              <w:marLeft w:val="0"/>
              <w:marRight w:val="0"/>
              <w:marTop w:val="0"/>
              <w:marBottom w:val="0"/>
              <w:divBdr>
                <w:top w:val="none" w:sz="0" w:space="0" w:color="auto"/>
                <w:left w:val="none" w:sz="0" w:space="0" w:color="auto"/>
                <w:bottom w:val="none" w:sz="0" w:space="0" w:color="auto"/>
                <w:right w:val="none" w:sz="0" w:space="0" w:color="auto"/>
              </w:divBdr>
            </w:div>
          </w:divsChild>
        </w:div>
        <w:div w:id="431170560">
          <w:marLeft w:val="0"/>
          <w:marRight w:val="0"/>
          <w:marTop w:val="0"/>
          <w:marBottom w:val="0"/>
          <w:divBdr>
            <w:top w:val="none" w:sz="0" w:space="0" w:color="auto"/>
            <w:left w:val="none" w:sz="0" w:space="0" w:color="auto"/>
            <w:bottom w:val="none" w:sz="0" w:space="0" w:color="auto"/>
            <w:right w:val="none" w:sz="0" w:space="0" w:color="auto"/>
          </w:divBdr>
          <w:divsChild>
            <w:div w:id="792405602">
              <w:marLeft w:val="0"/>
              <w:marRight w:val="0"/>
              <w:marTop w:val="0"/>
              <w:marBottom w:val="0"/>
              <w:divBdr>
                <w:top w:val="none" w:sz="0" w:space="0" w:color="auto"/>
                <w:left w:val="none" w:sz="0" w:space="0" w:color="auto"/>
                <w:bottom w:val="none" w:sz="0" w:space="0" w:color="auto"/>
                <w:right w:val="none" w:sz="0" w:space="0" w:color="auto"/>
              </w:divBdr>
            </w:div>
          </w:divsChild>
        </w:div>
        <w:div w:id="137498923">
          <w:marLeft w:val="0"/>
          <w:marRight w:val="0"/>
          <w:marTop w:val="0"/>
          <w:marBottom w:val="0"/>
          <w:divBdr>
            <w:top w:val="none" w:sz="0" w:space="0" w:color="auto"/>
            <w:left w:val="none" w:sz="0" w:space="0" w:color="auto"/>
            <w:bottom w:val="none" w:sz="0" w:space="0" w:color="auto"/>
            <w:right w:val="none" w:sz="0" w:space="0" w:color="auto"/>
          </w:divBdr>
          <w:divsChild>
            <w:div w:id="348527988">
              <w:marLeft w:val="0"/>
              <w:marRight w:val="0"/>
              <w:marTop w:val="0"/>
              <w:marBottom w:val="0"/>
              <w:divBdr>
                <w:top w:val="none" w:sz="0" w:space="0" w:color="auto"/>
                <w:left w:val="none" w:sz="0" w:space="0" w:color="auto"/>
                <w:bottom w:val="none" w:sz="0" w:space="0" w:color="auto"/>
                <w:right w:val="none" w:sz="0" w:space="0" w:color="auto"/>
              </w:divBdr>
            </w:div>
          </w:divsChild>
        </w:div>
        <w:div w:id="2084060108">
          <w:marLeft w:val="0"/>
          <w:marRight w:val="0"/>
          <w:marTop w:val="0"/>
          <w:marBottom w:val="0"/>
          <w:divBdr>
            <w:top w:val="none" w:sz="0" w:space="0" w:color="auto"/>
            <w:left w:val="none" w:sz="0" w:space="0" w:color="auto"/>
            <w:bottom w:val="none" w:sz="0" w:space="0" w:color="auto"/>
            <w:right w:val="none" w:sz="0" w:space="0" w:color="auto"/>
          </w:divBdr>
          <w:divsChild>
            <w:div w:id="780612451">
              <w:marLeft w:val="0"/>
              <w:marRight w:val="0"/>
              <w:marTop w:val="0"/>
              <w:marBottom w:val="0"/>
              <w:divBdr>
                <w:top w:val="none" w:sz="0" w:space="0" w:color="auto"/>
                <w:left w:val="none" w:sz="0" w:space="0" w:color="auto"/>
                <w:bottom w:val="none" w:sz="0" w:space="0" w:color="auto"/>
                <w:right w:val="none" w:sz="0" w:space="0" w:color="auto"/>
              </w:divBdr>
            </w:div>
          </w:divsChild>
        </w:div>
        <w:div w:id="398863156">
          <w:marLeft w:val="0"/>
          <w:marRight w:val="0"/>
          <w:marTop w:val="0"/>
          <w:marBottom w:val="0"/>
          <w:divBdr>
            <w:top w:val="none" w:sz="0" w:space="0" w:color="auto"/>
            <w:left w:val="none" w:sz="0" w:space="0" w:color="auto"/>
            <w:bottom w:val="none" w:sz="0" w:space="0" w:color="auto"/>
            <w:right w:val="none" w:sz="0" w:space="0" w:color="auto"/>
          </w:divBdr>
          <w:divsChild>
            <w:div w:id="481586371">
              <w:marLeft w:val="0"/>
              <w:marRight w:val="0"/>
              <w:marTop w:val="0"/>
              <w:marBottom w:val="0"/>
              <w:divBdr>
                <w:top w:val="none" w:sz="0" w:space="0" w:color="auto"/>
                <w:left w:val="none" w:sz="0" w:space="0" w:color="auto"/>
                <w:bottom w:val="none" w:sz="0" w:space="0" w:color="auto"/>
                <w:right w:val="none" w:sz="0" w:space="0" w:color="auto"/>
              </w:divBdr>
            </w:div>
          </w:divsChild>
        </w:div>
        <w:div w:id="1419868732">
          <w:marLeft w:val="0"/>
          <w:marRight w:val="0"/>
          <w:marTop w:val="0"/>
          <w:marBottom w:val="0"/>
          <w:divBdr>
            <w:top w:val="none" w:sz="0" w:space="0" w:color="auto"/>
            <w:left w:val="none" w:sz="0" w:space="0" w:color="auto"/>
            <w:bottom w:val="none" w:sz="0" w:space="0" w:color="auto"/>
            <w:right w:val="none" w:sz="0" w:space="0" w:color="auto"/>
          </w:divBdr>
          <w:divsChild>
            <w:div w:id="1837572748">
              <w:marLeft w:val="0"/>
              <w:marRight w:val="0"/>
              <w:marTop w:val="0"/>
              <w:marBottom w:val="0"/>
              <w:divBdr>
                <w:top w:val="none" w:sz="0" w:space="0" w:color="auto"/>
                <w:left w:val="none" w:sz="0" w:space="0" w:color="auto"/>
                <w:bottom w:val="none" w:sz="0" w:space="0" w:color="auto"/>
                <w:right w:val="none" w:sz="0" w:space="0" w:color="auto"/>
              </w:divBdr>
            </w:div>
          </w:divsChild>
        </w:div>
        <w:div w:id="1004279131">
          <w:marLeft w:val="0"/>
          <w:marRight w:val="0"/>
          <w:marTop w:val="0"/>
          <w:marBottom w:val="0"/>
          <w:divBdr>
            <w:top w:val="none" w:sz="0" w:space="0" w:color="auto"/>
            <w:left w:val="none" w:sz="0" w:space="0" w:color="auto"/>
            <w:bottom w:val="none" w:sz="0" w:space="0" w:color="auto"/>
            <w:right w:val="none" w:sz="0" w:space="0" w:color="auto"/>
          </w:divBdr>
          <w:divsChild>
            <w:div w:id="2000621270">
              <w:marLeft w:val="0"/>
              <w:marRight w:val="0"/>
              <w:marTop w:val="0"/>
              <w:marBottom w:val="0"/>
              <w:divBdr>
                <w:top w:val="none" w:sz="0" w:space="0" w:color="auto"/>
                <w:left w:val="none" w:sz="0" w:space="0" w:color="auto"/>
                <w:bottom w:val="none" w:sz="0" w:space="0" w:color="auto"/>
                <w:right w:val="none" w:sz="0" w:space="0" w:color="auto"/>
              </w:divBdr>
            </w:div>
          </w:divsChild>
        </w:div>
        <w:div w:id="1611938176">
          <w:marLeft w:val="0"/>
          <w:marRight w:val="0"/>
          <w:marTop w:val="0"/>
          <w:marBottom w:val="0"/>
          <w:divBdr>
            <w:top w:val="none" w:sz="0" w:space="0" w:color="auto"/>
            <w:left w:val="none" w:sz="0" w:space="0" w:color="auto"/>
            <w:bottom w:val="none" w:sz="0" w:space="0" w:color="auto"/>
            <w:right w:val="none" w:sz="0" w:space="0" w:color="auto"/>
          </w:divBdr>
          <w:divsChild>
            <w:div w:id="1680889104">
              <w:marLeft w:val="0"/>
              <w:marRight w:val="0"/>
              <w:marTop w:val="0"/>
              <w:marBottom w:val="0"/>
              <w:divBdr>
                <w:top w:val="none" w:sz="0" w:space="0" w:color="auto"/>
                <w:left w:val="none" w:sz="0" w:space="0" w:color="auto"/>
                <w:bottom w:val="none" w:sz="0" w:space="0" w:color="auto"/>
                <w:right w:val="none" w:sz="0" w:space="0" w:color="auto"/>
              </w:divBdr>
            </w:div>
          </w:divsChild>
        </w:div>
        <w:div w:id="225342529">
          <w:marLeft w:val="0"/>
          <w:marRight w:val="0"/>
          <w:marTop w:val="0"/>
          <w:marBottom w:val="0"/>
          <w:divBdr>
            <w:top w:val="none" w:sz="0" w:space="0" w:color="auto"/>
            <w:left w:val="none" w:sz="0" w:space="0" w:color="auto"/>
            <w:bottom w:val="none" w:sz="0" w:space="0" w:color="auto"/>
            <w:right w:val="none" w:sz="0" w:space="0" w:color="auto"/>
          </w:divBdr>
          <w:divsChild>
            <w:div w:id="1994412475">
              <w:marLeft w:val="0"/>
              <w:marRight w:val="0"/>
              <w:marTop w:val="0"/>
              <w:marBottom w:val="0"/>
              <w:divBdr>
                <w:top w:val="none" w:sz="0" w:space="0" w:color="auto"/>
                <w:left w:val="none" w:sz="0" w:space="0" w:color="auto"/>
                <w:bottom w:val="none" w:sz="0" w:space="0" w:color="auto"/>
                <w:right w:val="none" w:sz="0" w:space="0" w:color="auto"/>
              </w:divBdr>
            </w:div>
          </w:divsChild>
        </w:div>
        <w:div w:id="1617249698">
          <w:marLeft w:val="0"/>
          <w:marRight w:val="0"/>
          <w:marTop w:val="0"/>
          <w:marBottom w:val="0"/>
          <w:divBdr>
            <w:top w:val="none" w:sz="0" w:space="0" w:color="auto"/>
            <w:left w:val="none" w:sz="0" w:space="0" w:color="auto"/>
            <w:bottom w:val="none" w:sz="0" w:space="0" w:color="auto"/>
            <w:right w:val="none" w:sz="0" w:space="0" w:color="auto"/>
          </w:divBdr>
          <w:divsChild>
            <w:div w:id="313148356">
              <w:marLeft w:val="0"/>
              <w:marRight w:val="0"/>
              <w:marTop w:val="0"/>
              <w:marBottom w:val="0"/>
              <w:divBdr>
                <w:top w:val="none" w:sz="0" w:space="0" w:color="auto"/>
                <w:left w:val="none" w:sz="0" w:space="0" w:color="auto"/>
                <w:bottom w:val="none" w:sz="0" w:space="0" w:color="auto"/>
                <w:right w:val="none" w:sz="0" w:space="0" w:color="auto"/>
              </w:divBdr>
            </w:div>
          </w:divsChild>
        </w:div>
        <w:div w:id="1006592306">
          <w:marLeft w:val="0"/>
          <w:marRight w:val="0"/>
          <w:marTop w:val="0"/>
          <w:marBottom w:val="0"/>
          <w:divBdr>
            <w:top w:val="none" w:sz="0" w:space="0" w:color="auto"/>
            <w:left w:val="none" w:sz="0" w:space="0" w:color="auto"/>
            <w:bottom w:val="none" w:sz="0" w:space="0" w:color="auto"/>
            <w:right w:val="none" w:sz="0" w:space="0" w:color="auto"/>
          </w:divBdr>
          <w:divsChild>
            <w:div w:id="2079092345">
              <w:marLeft w:val="0"/>
              <w:marRight w:val="0"/>
              <w:marTop w:val="0"/>
              <w:marBottom w:val="0"/>
              <w:divBdr>
                <w:top w:val="none" w:sz="0" w:space="0" w:color="auto"/>
                <w:left w:val="none" w:sz="0" w:space="0" w:color="auto"/>
                <w:bottom w:val="none" w:sz="0" w:space="0" w:color="auto"/>
                <w:right w:val="none" w:sz="0" w:space="0" w:color="auto"/>
              </w:divBdr>
            </w:div>
          </w:divsChild>
        </w:div>
        <w:div w:id="1911381251">
          <w:marLeft w:val="0"/>
          <w:marRight w:val="0"/>
          <w:marTop w:val="0"/>
          <w:marBottom w:val="0"/>
          <w:divBdr>
            <w:top w:val="none" w:sz="0" w:space="0" w:color="auto"/>
            <w:left w:val="none" w:sz="0" w:space="0" w:color="auto"/>
            <w:bottom w:val="none" w:sz="0" w:space="0" w:color="auto"/>
            <w:right w:val="none" w:sz="0" w:space="0" w:color="auto"/>
          </w:divBdr>
          <w:divsChild>
            <w:div w:id="1694381957">
              <w:marLeft w:val="0"/>
              <w:marRight w:val="0"/>
              <w:marTop w:val="0"/>
              <w:marBottom w:val="0"/>
              <w:divBdr>
                <w:top w:val="none" w:sz="0" w:space="0" w:color="auto"/>
                <w:left w:val="none" w:sz="0" w:space="0" w:color="auto"/>
                <w:bottom w:val="none" w:sz="0" w:space="0" w:color="auto"/>
                <w:right w:val="none" w:sz="0" w:space="0" w:color="auto"/>
              </w:divBdr>
            </w:div>
          </w:divsChild>
        </w:div>
        <w:div w:id="793790495">
          <w:marLeft w:val="0"/>
          <w:marRight w:val="0"/>
          <w:marTop w:val="0"/>
          <w:marBottom w:val="0"/>
          <w:divBdr>
            <w:top w:val="none" w:sz="0" w:space="0" w:color="auto"/>
            <w:left w:val="none" w:sz="0" w:space="0" w:color="auto"/>
            <w:bottom w:val="none" w:sz="0" w:space="0" w:color="auto"/>
            <w:right w:val="none" w:sz="0" w:space="0" w:color="auto"/>
          </w:divBdr>
          <w:divsChild>
            <w:div w:id="1760130928">
              <w:marLeft w:val="0"/>
              <w:marRight w:val="0"/>
              <w:marTop w:val="0"/>
              <w:marBottom w:val="0"/>
              <w:divBdr>
                <w:top w:val="none" w:sz="0" w:space="0" w:color="auto"/>
                <w:left w:val="none" w:sz="0" w:space="0" w:color="auto"/>
                <w:bottom w:val="none" w:sz="0" w:space="0" w:color="auto"/>
                <w:right w:val="none" w:sz="0" w:space="0" w:color="auto"/>
              </w:divBdr>
            </w:div>
          </w:divsChild>
        </w:div>
        <w:div w:id="1104762430">
          <w:marLeft w:val="0"/>
          <w:marRight w:val="0"/>
          <w:marTop w:val="0"/>
          <w:marBottom w:val="0"/>
          <w:divBdr>
            <w:top w:val="none" w:sz="0" w:space="0" w:color="auto"/>
            <w:left w:val="none" w:sz="0" w:space="0" w:color="auto"/>
            <w:bottom w:val="none" w:sz="0" w:space="0" w:color="auto"/>
            <w:right w:val="none" w:sz="0" w:space="0" w:color="auto"/>
          </w:divBdr>
          <w:divsChild>
            <w:div w:id="1692100610">
              <w:marLeft w:val="0"/>
              <w:marRight w:val="0"/>
              <w:marTop w:val="0"/>
              <w:marBottom w:val="0"/>
              <w:divBdr>
                <w:top w:val="none" w:sz="0" w:space="0" w:color="auto"/>
                <w:left w:val="none" w:sz="0" w:space="0" w:color="auto"/>
                <w:bottom w:val="none" w:sz="0" w:space="0" w:color="auto"/>
                <w:right w:val="none" w:sz="0" w:space="0" w:color="auto"/>
              </w:divBdr>
            </w:div>
          </w:divsChild>
        </w:div>
        <w:div w:id="478957196">
          <w:marLeft w:val="0"/>
          <w:marRight w:val="0"/>
          <w:marTop w:val="0"/>
          <w:marBottom w:val="0"/>
          <w:divBdr>
            <w:top w:val="none" w:sz="0" w:space="0" w:color="auto"/>
            <w:left w:val="none" w:sz="0" w:space="0" w:color="auto"/>
            <w:bottom w:val="none" w:sz="0" w:space="0" w:color="auto"/>
            <w:right w:val="none" w:sz="0" w:space="0" w:color="auto"/>
          </w:divBdr>
          <w:divsChild>
            <w:div w:id="527718557">
              <w:marLeft w:val="0"/>
              <w:marRight w:val="0"/>
              <w:marTop w:val="0"/>
              <w:marBottom w:val="0"/>
              <w:divBdr>
                <w:top w:val="none" w:sz="0" w:space="0" w:color="auto"/>
                <w:left w:val="none" w:sz="0" w:space="0" w:color="auto"/>
                <w:bottom w:val="none" w:sz="0" w:space="0" w:color="auto"/>
                <w:right w:val="none" w:sz="0" w:space="0" w:color="auto"/>
              </w:divBdr>
            </w:div>
          </w:divsChild>
        </w:div>
        <w:div w:id="1044256071">
          <w:marLeft w:val="0"/>
          <w:marRight w:val="0"/>
          <w:marTop w:val="0"/>
          <w:marBottom w:val="0"/>
          <w:divBdr>
            <w:top w:val="none" w:sz="0" w:space="0" w:color="auto"/>
            <w:left w:val="none" w:sz="0" w:space="0" w:color="auto"/>
            <w:bottom w:val="none" w:sz="0" w:space="0" w:color="auto"/>
            <w:right w:val="none" w:sz="0" w:space="0" w:color="auto"/>
          </w:divBdr>
          <w:divsChild>
            <w:div w:id="1837573768">
              <w:marLeft w:val="0"/>
              <w:marRight w:val="0"/>
              <w:marTop w:val="0"/>
              <w:marBottom w:val="0"/>
              <w:divBdr>
                <w:top w:val="none" w:sz="0" w:space="0" w:color="auto"/>
                <w:left w:val="none" w:sz="0" w:space="0" w:color="auto"/>
                <w:bottom w:val="none" w:sz="0" w:space="0" w:color="auto"/>
                <w:right w:val="none" w:sz="0" w:space="0" w:color="auto"/>
              </w:divBdr>
            </w:div>
          </w:divsChild>
        </w:div>
        <w:div w:id="961689635">
          <w:marLeft w:val="0"/>
          <w:marRight w:val="0"/>
          <w:marTop w:val="0"/>
          <w:marBottom w:val="0"/>
          <w:divBdr>
            <w:top w:val="none" w:sz="0" w:space="0" w:color="auto"/>
            <w:left w:val="none" w:sz="0" w:space="0" w:color="auto"/>
            <w:bottom w:val="none" w:sz="0" w:space="0" w:color="auto"/>
            <w:right w:val="none" w:sz="0" w:space="0" w:color="auto"/>
          </w:divBdr>
          <w:divsChild>
            <w:div w:id="1398162668">
              <w:marLeft w:val="0"/>
              <w:marRight w:val="0"/>
              <w:marTop w:val="0"/>
              <w:marBottom w:val="0"/>
              <w:divBdr>
                <w:top w:val="none" w:sz="0" w:space="0" w:color="auto"/>
                <w:left w:val="none" w:sz="0" w:space="0" w:color="auto"/>
                <w:bottom w:val="none" w:sz="0" w:space="0" w:color="auto"/>
                <w:right w:val="none" w:sz="0" w:space="0" w:color="auto"/>
              </w:divBdr>
            </w:div>
          </w:divsChild>
        </w:div>
        <w:div w:id="316343800">
          <w:marLeft w:val="0"/>
          <w:marRight w:val="0"/>
          <w:marTop w:val="0"/>
          <w:marBottom w:val="0"/>
          <w:divBdr>
            <w:top w:val="none" w:sz="0" w:space="0" w:color="auto"/>
            <w:left w:val="none" w:sz="0" w:space="0" w:color="auto"/>
            <w:bottom w:val="none" w:sz="0" w:space="0" w:color="auto"/>
            <w:right w:val="none" w:sz="0" w:space="0" w:color="auto"/>
          </w:divBdr>
          <w:divsChild>
            <w:div w:id="693848897">
              <w:marLeft w:val="0"/>
              <w:marRight w:val="0"/>
              <w:marTop w:val="0"/>
              <w:marBottom w:val="0"/>
              <w:divBdr>
                <w:top w:val="none" w:sz="0" w:space="0" w:color="auto"/>
                <w:left w:val="none" w:sz="0" w:space="0" w:color="auto"/>
                <w:bottom w:val="none" w:sz="0" w:space="0" w:color="auto"/>
                <w:right w:val="none" w:sz="0" w:space="0" w:color="auto"/>
              </w:divBdr>
            </w:div>
          </w:divsChild>
        </w:div>
        <w:div w:id="1240215130">
          <w:marLeft w:val="0"/>
          <w:marRight w:val="0"/>
          <w:marTop w:val="0"/>
          <w:marBottom w:val="0"/>
          <w:divBdr>
            <w:top w:val="none" w:sz="0" w:space="0" w:color="auto"/>
            <w:left w:val="none" w:sz="0" w:space="0" w:color="auto"/>
            <w:bottom w:val="none" w:sz="0" w:space="0" w:color="auto"/>
            <w:right w:val="none" w:sz="0" w:space="0" w:color="auto"/>
          </w:divBdr>
          <w:divsChild>
            <w:div w:id="2114859537">
              <w:marLeft w:val="0"/>
              <w:marRight w:val="0"/>
              <w:marTop w:val="0"/>
              <w:marBottom w:val="0"/>
              <w:divBdr>
                <w:top w:val="none" w:sz="0" w:space="0" w:color="auto"/>
                <w:left w:val="none" w:sz="0" w:space="0" w:color="auto"/>
                <w:bottom w:val="none" w:sz="0" w:space="0" w:color="auto"/>
                <w:right w:val="none" w:sz="0" w:space="0" w:color="auto"/>
              </w:divBdr>
            </w:div>
          </w:divsChild>
        </w:div>
        <w:div w:id="1062756721">
          <w:marLeft w:val="0"/>
          <w:marRight w:val="0"/>
          <w:marTop w:val="0"/>
          <w:marBottom w:val="0"/>
          <w:divBdr>
            <w:top w:val="none" w:sz="0" w:space="0" w:color="auto"/>
            <w:left w:val="none" w:sz="0" w:space="0" w:color="auto"/>
            <w:bottom w:val="none" w:sz="0" w:space="0" w:color="auto"/>
            <w:right w:val="none" w:sz="0" w:space="0" w:color="auto"/>
          </w:divBdr>
          <w:divsChild>
            <w:div w:id="1329478138">
              <w:marLeft w:val="0"/>
              <w:marRight w:val="0"/>
              <w:marTop w:val="0"/>
              <w:marBottom w:val="0"/>
              <w:divBdr>
                <w:top w:val="none" w:sz="0" w:space="0" w:color="auto"/>
                <w:left w:val="none" w:sz="0" w:space="0" w:color="auto"/>
                <w:bottom w:val="none" w:sz="0" w:space="0" w:color="auto"/>
                <w:right w:val="none" w:sz="0" w:space="0" w:color="auto"/>
              </w:divBdr>
            </w:div>
          </w:divsChild>
        </w:div>
        <w:div w:id="1902517179">
          <w:marLeft w:val="0"/>
          <w:marRight w:val="0"/>
          <w:marTop w:val="0"/>
          <w:marBottom w:val="0"/>
          <w:divBdr>
            <w:top w:val="none" w:sz="0" w:space="0" w:color="auto"/>
            <w:left w:val="none" w:sz="0" w:space="0" w:color="auto"/>
            <w:bottom w:val="none" w:sz="0" w:space="0" w:color="auto"/>
            <w:right w:val="none" w:sz="0" w:space="0" w:color="auto"/>
          </w:divBdr>
          <w:divsChild>
            <w:div w:id="1059209310">
              <w:marLeft w:val="0"/>
              <w:marRight w:val="0"/>
              <w:marTop w:val="0"/>
              <w:marBottom w:val="0"/>
              <w:divBdr>
                <w:top w:val="none" w:sz="0" w:space="0" w:color="auto"/>
                <w:left w:val="none" w:sz="0" w:space="0" w:color="auto"/>
                <w:bottom w:val="none" w:sz="0" w:space="0" w:color="auto"/>
                <w:right w:val="none" w:sz="0" w:space="0" w:color="auto"/>
              </w:divBdr>
            </w:div>
          </w:divsChild>
        </w:div>
        <w:div w:id="825166654">
          <w:marLeft w:val="0"/>
          <w:marRight w:val="0"/>
          <w:marTop w:val="0"/>
          <w:marBottom w:val="0"/>
          <w:divBdr>
            <w:top w:val="none" w:sz="0" w:space="0" w:color="auto"/>
            <w:left w:val="none" w:sz="0" w:space="0" w:color="auto"/>
            <w:bottom w:val="none" w:sz="0" w:space="0" w:color="auto"/>
            <w:right w:val="none" w:sz="0" w:space="0" w:color="auto"/>
          </w:divBdr>
          <w:divsChild>
            <w:div w:id="1665939641">
              <w:marLeft w:val="0"/>
              <w:marRight w:val="0"/>
              <w:marTop w:val="0"/>
              <w:marBottom w:val="0"/>
              <w:divBdr>
                <w:top w:val="none" w:sz="0" w:space="0" w:color="auto"/>
                <w:left w:val="none" w:sz="0" w:space="0" w:color="auto"/>
                <w:bottom w:val="none" w:sz="0" w:space="0" w:color="auto"/>
                <w:right w:val="none" w:sz="0" w:space="0" w:color="auto"/>
              </w:divBdr>
            </w:div>
          </w:divsChild>
        </w:div>
        <w:div w:id="451942054">
          <w:marLeft w:val="0"/>
          <w:marRight w:val="0"/>
          <w:marTop w:val="0"/>
          <w:marBottom w:val="0"/>
          <w:divBdr>
            <w:top w:val="none" w:sz="0" w:space="0" w:color="auto"/>
            <w:left w:val="none" w:sz="0" w:space="0" w:color="auto"/>
            <w:bottom w:val="none" w:sz="0" w:space="0" w:color="auto"/>
            <w:right w:val="none" w:sz="0" w:space="0" w:color="auto"/>
          </w:divBdr>
          <w:divsChild>
            <w:div w:id="1235360971">
              <w:marLeft w:val="0"/>
              <w:marRight w:val="0"/>
              <w:marTop w:val="0"/>
              <w:marBottom w:val="0"/>
              <w:divBdr>
                <w:top w:val="none" w:sz="0" w:space="0" w:color="auto"/>
                <w:left w:val="none" w:sz="0" w:space="0" w:color="auto"/>
                <w:bottom w:val="none" w:sz="0" w:space="0" w:color="auto"/>
                <w:right w:val="none" w:sz="0" w:space="0" w:color="auto"/>
              </w:divBdr>
            </w:div>
          </w:divsChild>
        </w:div>
        <w:div w:id="1111433688">
          <w:marLeft w:val="0"/>
          <w:marRight w:val="0"/>
          <w:marTop w:val="0"/>
          <w:marBottom w:val="0"/>
          <w:divBdr>
            <w:top w:val="none" w:sz="0" w:space="0" w:color="auto"/>
            <w:left w:val="none" w:sz="0" w:space="0" w:color="auto"/>
            <w:bottom w:val="none" w:sz="0" w:space="0" w:color="auto"/>
            <w:right w:val="none" w:sz="0" w:space="0" w:color="auto"/>
          </w:divBdr>
          <w:divsChild>
            <w:div w:id="1980573210">
              <w:marLeft w:val="0"/>
              <w:marRight w:val="0"/>
              <w:marTop w:val="0"/>
              <w:marBottom w:val="0"/>
              <w:divBdr>
                <w:top w:val="none" w:sz="0" w:space="0" w:color="auto"/>
                <w:left w:val="none" w:sz="0" w:space="0" w:color="auto"/>
                <w:bottom w:val="none" w:sz="0" w:space="0" w:color="auto"/>
                <w:right w:val="none" w:sz="0" w:space="0" w:color="auto"/>
              </w:divBdr>
            </w:div>
          </w:divsChild>
        </w:div>
        <w:div w:id="338040708">
          <w:marLeft w:val="0"/>
          <w:marRight w:val="0"/>
          <w:marTop w:val="0"/>
          <w:marBottom w:val="0"/>
          <w:divBdr>
            <w:top w:val="none" w:sz="0" w:space="0" w:color="auto"/>
            <w:left w:val="none" w:sz="0" w:space="0" w:color="auto"/>
            <w:bottom w:val="none" w:sz="0" w:space="0" w:color="auto"/>
            <w:right w:val="none" w:sz="0" w:space="0" w:color="auto"/>
          </w:divBdr>
          <w:divsChild>
            <w:div w:id="2038967940">
              <w:marLeft w:val="0"/>
              <w:marRight w:val="0"/>
              <w:marTop w:val="0"/>
              <w:marBottom w:val="0"/>
              <w:divBdr>
                <w:top w:val="none" w:sz="0" w:space="0" w:color="auto"/>
                <w:left w:val="none" w:sz="0" w:space="0" w:color="auto"/>
                <w:bottom w:val="none" w:sz="0" w:space="0" w:color="auto"/>
                <w:right w:val="none" w:sz="0" w:space="0" w:color="auto"/>
              </w:divBdr>
            </w:div>
          </w:divsChild>
        </w:div>
        <w:div w:id="1223373030">
          <w:marLeft w:val="0"/>
          <w:marRight w:val="0"/>
          <w:marTop w:val="0"/>
          <w:marBottom w:val="0"/>
          <w:divBdr>
            <w:top w:val="none" w:sz="0" w:space="0" w:color="auto"/>
            <w:left w:val="none" w:sz="0" w:space="0" w:color="auto"/>
            <w:bottom w:val="none" w:sz="0" w:space="0" w:color="auto"/>
            <w:right w:val="none" w:sz="0" w:space="0" w:color="auto"/>
          </w:divBdr>
          <w:divsChild>
            <w:div w:id="541786621">
              <w:marLeft w:val="0"/>
              <w:marRight w:val="0"/>
              <w:marTop w:val="0"/>
              <w:marBottom w:val="0"/>
              <w:divBdr>
                <w:top w:val="none" w:sz="0" w:space="0" w:color="auto"/>
                <w:left w:val="none" w:sz="0" w:space="0" w:color="auto"/>
                <w:bottom w:val="none" w:sz="0" w:space="0" w:color="auto"/>
                <w:right w:val="none" w:sz="0" w:space="0" w:color="auto"/>
              </w:divBdr>
            </w:div>
          </w:divsChild>
        </w:div>
        <w:div w:id="691810294">
          <w:marLeft w:val="0"/>
          <w:marRight w:val="0"/>
          <w:marTop w:val="0"/>
          <w:marBottom w:val="0"/>
          <w:divBdr>
            <w:top w:val="none" w:sz="0" w:space="0" w:color="auto"/>
            <w:left w:val="none" w:sz="0" w:space="0" w:color="auto"/>
            <w:bottom w:val="none" w:sz="0" w:space="0" w:color="auto"/>
            <w:right w:val="none" w:sz="0" w:space="0" w:color="auto"/>
          </w:divBdr>
          <w:divsChild>
            <w:div w:id="18808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70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sdoc.unesco.org/ark:/48223/pf0000125186.page=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9B11BD30DBB4EA6165125C28E89C1" ma:contentTypeVersion="13" ma:contentTypeDescription="Create a new document." ma:contentTypeScope="" ma:versionID="6c0613f4ce1667ea13988d52252fdeda">
  <xsd:schema xmlns:xsd="http://www.w3.org/2001/XMLSchema" xmlns:xs="http://www.w3.org/2001/XMLSchema" xmlns:p="http://schemas.microsoft.com/office/2006/metadata/properties" xmlns:ns2="514e5fa7-09f8-417e-9fa0-2dcb5a771e01" xmlns:ns3="b5ec9ee2-98e2-41f1-b8d8-637ec845bf6e" targetNamespace="http://schemas.microsoft.com/office/2006/metadata/properties" ma:root="true" ma:fieldsID="1df6ede8f54b5ca4cf4dd9be91c00b51" ns2:_="" ns3:_="">
    <xsd:import namespace="514e5fa7-09f8-417e-9fa0-2dcb5a771e01"/>
    <xsd:import namespace="b5ec9ee2-98e2-41f1-b8d8-637ec845bf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e5fa7-09f8-417e-9fa0-2dcb5a77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c9ee2-98e2-41f1-b8d8-637ec845bf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1d1027-7368-478f-91b5-d8b4705f9a4e}" ma:internalName="TaxCatchAll" ma:showField="CatchAllData" ma:web="b5ec9ee2-98e2-41f1-b8d8-637ec845b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ec9ee2-98e2-41f1-b8d8-637ec845bf6e" xsi:nil="true"/>
    <lcf76f155ced4ddcb4097134ff3c332f xmlns="514e5fa7-09f8-417e-9fa0-2dcb5a771e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3F8F-F0B5-4236-B08A-AA620A838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e5fa7-09f8-417e-9fa0-2dcb5a771e01"/>
    <ds:schemaRef ds:uri="b5ec9ee2-98e2-41f1-b8d8-637ec845b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D057D-152D-4560-AB81-CFB161047F16}">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5ec9ee2-98e2-41f1-b8d8-637ec845bf6e"/>
    <ds:schemaRef ds:uri="514e5fa7-09f8-417e-9fa0-2dcb5a771e01"/>
  </ds:schemaRefs>
</ds:datastoreItem>
</file>

<file path=customXml/itemProps3.xml><?xml version="1.0" encoding="utf-8"?>
<ds:datastoreItem xmlns:ds="http://schemas.openxmlformats.org/officeDocument/2006/customXml" ds:itemID="{45455621-630C-4D43-8507-130CC6C99735}">
  <ds:schemaRefs>
    <ds:schemaRef ds:uri="http://schemas.microsoft.com/sharepoint/v3/contenttype/forms"/>
  </ds:schemaRefs>
</ds:datastoreItem>
</file>

<file path=customXml/itemProps4.xml><?xml version="1.0" encoding="utf-8"?>
<ds:datastoreItem xmlns:ds="http://schemas.openxmlformats.org/officeDocument/2006/customXml" ds:itemID="{0BEE9648-A6E7-41B1-ADB3-CF352C380BD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6366</Words>
  <Characters>35013</Characters>
  <Application>Microsoft Office Word</Application>
  <DocSecurity>0</DocSecurity>
  <Lines>291</Lines>
  <Paragraphs>82</Paragraphs>
  <ScaleCrop>false</ScaleCrop>
  <Company/>
  <LinksUpToDate>false</LinksUpToDate>
  <CharactersWithSpaces>41297</CharactersWithSpaces>
  <SharedDoc>false</SharedDoc>
  <HLinks>
    <vt:vector size="96" baseType="variant">
      <vt:variant>
        <vt:i4>6160441</vt:i4>
      </vt:variant>
      <vt:variant>
        <vt:i4>45</vt:i4>
      </vt:variant>
      <vt:variant>
        <vt:i4>0</vt:i4>
      </vt:variant>
      <vt:variant>
        <vt:i4>5</vt:i4>
      </vt:variant>
      <vt:variant>
        <vt:lpwstr/>
      </vt:variant>
      <vt:variant>
        <vt:lpwstr>Recommendation_14</vt:lpwstr>
      </vt:variant>
      <vt:variant>
        <vt:i4>6160441</vt:i4>
      </vt:variant>
      <vt:variant>
        <vt:i4>42</vt:i4>
      </vt:variant>
      <vt:variant>
        <vt:i4>0</vt:i4>
      </vt:variant>
      <vt:variant>
        <vt:i4>5</vt:i4>
      </vt:variant>
      <vt:variant>
        <vt:lpwstr/>
      </vt:variant>
      <vt:variant>
        <vt:lpwstr>Recommendation_13</vt:lpwstr>
      </vt:variant>
      <vt:variant>
        <vt:i4>6160441</vt:i4>
      </vt:variant>
      <vt:variant>
        <vt:i4>39</vt:i4>
      </vt:variant>
      <vt:variant>
        <vt:i4>0</vt:i4>
      </vt:variant>
      <vt:variant>
        <vt:i4>5</vt:i4>
      </vt:variant>
      <vt:variant>
        <vt:lpwstr/>
      </vt:variant>
      <vt:variant>
        <vt:lpwstr>Recommendation_12</vt:lpwstr>
      </vt:variant>
      <vt:variant>
        <vt:i4>6160441</vt:i4>
      </vt:variant>
      <vt:variant>
        <vt:i4>36</vt:i4>
      </vt:variant>
      <vt:variant>
        <vt:i4>0</vt:i4>
      </vt:variant>
      <vt:variant>
        <vt:i4>5</vt:i4>
      </vt:variant>
      <vt:variant>
        <vt:lpwstr/>
      </vt:variant>
      <vt:variant>
        <vt:lpwstr>Recommendation_11</vt:lpwstr>
      </vt:variant>
      <vt:variant>
        <vt:i4>6160441</vt:i4>
      </vt:variant>
      <vt:variant>
        <vt:i4>33</vt:i4>
      </vt:variant>
      <vt:variant>
        <vt:i4>0</vt:i4>
      </vt:variant>
      <vt:variant>
        <vt:i4>5</vt:i4>
      </vt:variant>
      <vt:variant>
        <vt:lpwstr/>
      </vt:variant>
      <vt:variant>
        <vt:lpwstr>Recommendation_10</vt:lpwstr>
      </vt:variant>
      <vt:variant>
        <vt:i4>5636153</vt:i4>
      </vt:variant>
      <vt:variant>
        <vt:i4>30</vt:i4>
      </vt:variant>
      <vt:variant>
        <vt:i4>0</vt:i4>
      </vt:variant>
      <vt:variant>
        <vt:i4>5</vt:i4>
      </vt:variant>
      <vt:variant>
        <vt:lpwstr/>
      </vt:variant>
      <vt:variant>
        <vt:lpwstr>Recommendation_9</vt:lpwstr>
      </vt:variant>
      <vt:variant>
        <vt:i4>5701689</vt:i4>
      </vt:variant>
      <vt:variant>
        <vt:i4>27</vt:i4>
      </vt:variant>
      <vt:variant>
        <vt:i4>0</vt:i4>
      </vt:variant>
      <vt:variant>
        <vt:i4>5</vt:i4>
      </vt:variant>
      <vt:variant>
        <vt:lpwstr/>
      </vt:variant>
      <vt:variant>
        <vt:lpwstr>Recommendation_8</vt:lpwstr>
      </vt:variant>
      <vt:variant>
        <vt:i4>5767225</vt:i4>
      </vt:variant>
      <vt:variant>
        <vt:i4>24</vt:i4>
      </vt:variant>
      <vt:variant>
        <vt:i4>0</vt:i4>
      </vt:variant>
      <vt:variant>
        <vt:i4>5</vt:i4>
      </vt:variant>
      <vt:variant>
        <vt:lpwstr/>
      </vt:variant>
      <vt:variant>
        <vt:lpwstr>Recommendation_7</vt:lpwstr>
      </vt:variant>
      <vt:variant>
        <vt:i4>5832761</vt:i4>
      </vt:variant>
      <vt:variant>
        <vt:i4>21</vt:i4>
      </vt:variant>
      <vt:variant>
        <vt:i4>0</vt:i4>
      </vt:variant>
      <vt:variant>
        <vt:i4>5</vt:i4>
      </vt:variant>
      <vt:variant>
        <vt:lpwstr/>
      </vt:variant>
      <vt:variant>
        <vt:lpwstr>Recommendation_6</vt:lpwstr>
      </vt:variant>
      <vt:variant>
        <vt:i4>5898297</vt:i4>
      </vt:variant>
      <vt:variant>
        <vt:i4>18</vt:i4>
      </vt:variant>
      <vt:variant>
        <vt:i4>0</vt:i4>
      </vt:variant>
      <vt:variant>
        <vt:i4>5</vt:i4>
      </vt:variant>
      <vt:variant>
        <vt:lpwstr/>
      </vt:variant>
      <vt:variant>
        <vt:lpwstr>Recommendation_5</vt:lpwstr>
      </vt:variant>
      <vt:variant>
        <vt:i4>5963833</vt:i4>
      </vt:variant>
      <vt:variant>
        <vt:i4>15</vt:i4>
      </vt:variant>
      <vt:variant>
        <vt:i4>0</vt:i4>
      </vt:variant>
      <vt:variant>
        <vt:i4>5</vt:i4>
      </vt:variant>
      <vt:variant>
        <vt:lpwstr/>
      </vt:variant>
      <vt:variant>
        <vt:lpwstr>Recommendation_4</vt:lpwstr>
      </vt:variant>
      <vt:variant>
        <vt:i4>6029369</vt:i4>
      </vt:variant>
      <vt:variant>
        <vt:i4>12</vt:i4>
      </vt:variant>
      <vt:variant>
        <vt:i4>0</vt:i4>
      </vt:variant>
      <vt:variant>
        <vt:i4>5</vt:i4>
      </vt:variant>
      <vt:variant>
        <vt:lpwstr/>
      </vt:variant>
      <vt:variant>
        <vt:lpwstr>Recommendation_3</vt:lpwstr>
      </vt:variant>
      <vt:variant>
        <vt:i4>6094905</vt:i4>
      </vt:variant>
      <vt:variant>
        <vt:i4>9</vt:i4>
      </vt:variant>
      <vt:variant>
        <vt:i4>0</vt:i4>
      </vt:variant>
      <vt:variant>
        <vt:i4>5</vt:i4>
      </vt:variant>
      <vt:variant>
        <vt:lpwstr/>
      </vt:variant>
      <vt:variant>
        <vt:lpwstr>Recommendation_2</vt:lpwstr>
      </vt:variant>
      <vt:variant>
        <vt:i4>6160441</vt:i4>
      </vt:variant>
      <vt:variant>
        <vt:i4>6</vt:i4>
      </vt:variant>
      <vt:variant>
        <vt:i4>0</vt:i4>
      </vt:variant>
      <vt:variant>
        <vt:i4>5</vt:i4>
      </vt:variant>
      <vt:variant>
        <vt:lpwstr/>
      </vt:variant>
      <vt:variant>
        <vt:lpwstr>Recommendation_1</vt:lpwstr>
      </vt:variant>
      <vt:variant>
        <vt:i4>3276853</vt:i4>
      </vt:variant>
      <vt:variant>
        <vt:i4>3</vt:i4>
      </vt:variant>
      <vt:variant>
        <vt:i4>0</vt:i4>
      </vt:variant>
      <vt:variant>
        <vt:i4>5</vt:i4>
      </vt:variant>
      <vt:variant>
        <vt:lpwstr>https://oceanexpert.org/event/4705</vt:lpwstr>
      </vt:variant>
      <vt:variant>
        <vt:lpwstr/>
      </vt:variant>
      <vt:variant>
        <vt:i4>8126590</vt:i4>
      </vt:variant>
      <vt:variant>
        <vt:i4>0</vt:i4>
      </vt:variant>
      <vt:variant>
        <vt:i4>0</vt:i4>
      </vt:variant>
      <vt:variant>
        <vt:i4>5</vt:i4>
      </vt:variant>
      <vt:variant>
        <vt:lpwstr>https://unesdoc.unesco.org/ark:/48223/pf0000125186.page=22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Humberto</dc:creator>
  <cp:keywords>, docId:66B04A564CA2355E228DDE1D72A81D2A</cp:keywords>
  <cp:lastModifiedBy>Boned, Patrice</cp:lastModifiedBy>
  <cp:revision>3</cp:revision>
  <cp:lastPrinted>2025-06-22T18:06:00Z</cp:lastPrinted>
  <dcterms:created xsi:type="dcterms:W3CDTF">2025-06-22T18:04:00Z</dcterms:created>
  <dcterms:modified xsi:type="dcterms:W3CDTF">2025-06-22T18:06:00Z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2023-04-12T00:00:00Z</vt:lpwstr>
  </property>
  <property fmtid="{D5CDD505-2E9C-101B-9397-08002B2CF9AE}" pid="3" name="Creator">
    <vt:lpwstr>Microsoft® Word for Microsoft 365</vt:lpwstr>
  </property>
  <property fmtid="{D5CDD505-2E9C-101B-9397-08002B2CF9AE}" pid="4" name="LastSaved">
    <vt:lpwstr>2023-04-20T00:00:00Z</vt:lpwstr>
  </property>
  <property fmtid="{D5CDD505-2E9C-101B-9397-08002B2CF9AE}" pid="5" name="Producer">
    <vt:lpwstr>Microsoft® Word for Microsoft 365</vt:lpwstr>
  </property>
  <property fmtid="{D5CDD505-2E9C-101B-9397-08002B2CF9AE}" pid="6" name="ContentTypeId">
    <vt:lpwstr>0x0101006D09B11BD30DBB4EA6165125C28E89C1</vt:lpwstr>
  </property>
  <property fmtid="{D5CDD505-2E9C-101B-9397-08002B2CF9AE}" pid="7" name="MediaServiceImageTags">
    <vt:lpwstr>MediaServiceImageTags</vt:lpwstr>
  </property>
</Properties>
</file>