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C368BE" w:rsidRDefault="00502140" w:rsidP="00B96458">
      <w:pPr>
        <w:pStyle w:val="BodyTextIndent3"/>
        <w:ind w:left="0" w:right="-261" w:firstLine="3600"/>
        <w:jc w:val="both"/>
        <w:rPr>
          <w:rFonts w:ascii="Arial" w:hAnsi="Arial" w:cs="Arial"/>
          <w:b/>
          <w:szCs w:val="22"/>
        </w:rPr>
      </w:pPr>
      <w:r>
        <w:rPr>
          <w:b/>
          <w:bCs/>
          <w:lang w:val="es"/>
        </w:rPr>
        <w:tab/>
      </w:r>
    </w:p>
    <w:p w14:paraId="3B296FB7" w14:textId="77777777" w:rsidR="008D23A7" w:rsidRPr="00A363E0" w:rsidRDefault="008D23A7" w:rsidP="00E4633C">
      <w:pPr>
        <w:pStyle w:val="Footer"/>
        <w:tabs>
          <w:tab w:val="clear" w:pos="4153"/>
          <w:tab w:val="clear" w:pos="8306"/>
        </w:tabs>
        <w:jc w:val="center"/>
        <w:rPr>
          <w:rFonts w:ascii="Arial" w:hAnsi="Arial" w:cs="Arial"/>
          <w:b/>
          <w:bCs/>
          <w:sz w:val="22"/>
          <w:szCs w:val="22"/>
          <w:lang w:val="fr-FR"/>
        </w:rPr>
      </w:pPr>
      <w:r>
        <w:rPr>
          <w:rFonts w:ascii="Arial" w:hAnsi="Arial" w:cs="Arial"/>
          <w:b/>
          <w:bCs/>
          <w:sz w:val="22"/>
          <w:szCs w:val="22"/>
          <w:lang w:val="es"/>
        </w:rPr>
        <w:t>COMISIÓN OCEANOGRÁFICA INTERGUBERNAMENTAL</w:t>
      </w:r>
    </w:p>
    <w:p w14:paraId="3FAF8B88" w14:textId="0702F2A0" w:rsidR="008D23A7" w:rsidRPr="00A363E0" w:rsidRDefault="008D23A7" w:rsidP="00E4633C">
      <w:pPr>
        <w:pStyle w:val="Footer"/>
        <w:tabs>
          <w:tab w:val="clear" w:pos="4153"/>
          <w:tab w:val="clear" w:pos="8306"/>
        </w:tabs>
        <w:jc w:val="center"/>
        <w:rPr>
          <w:rFonts w:ascii="Arial" w:hAnsi="Arial" w:cs="Arial"/>
          <w:sz w:val="22"/>
          <w:szCs w:val="22"/>
          <w:lang w:val="fr-FR"/>
        </w:rPr>
      </w:pPr>
      <w:r>
        <w:rPr>
          <w:rFonts w:ascii="Arial" w:hAnsi="Arial" w:cs="Arial"/>
          <w:sz w:val="22"/>
          <w:szCs w:val="22"/>
          <w:lang w:val="es"/>
        </w:rPr>
        <w:t>(de la UNESCO)</w:t>
      </w:r>
    </w:p>
    <w:p w14:paraId="4C88C842" w14:textId="77777777" w:rsidR="008D23A7" w:rsidRPr="00A363E0" w:rsidRDefault="008D23A7" w:rsidP="00E4633C">
      <w:pPr>
        <w:pStyle w:val="Footer"/>
        <w:tabs>
          <w:tab w:val="clear" w:pos="4153"/>
          <w:tab w:val="clear" w:pos="8306"/>
          <w:tab w:val="left" w:pos="5245"/>
        </w:tabs>
        <w:jc w:val="center"/>
        <w:rPr>
          <w:rFonts w:ascii="Arial" w:hAnsi="Arial" w:cs="Arial"/>
          <w:sz w:val="22"/>
          <w:szCs w:val="22"/>
          <w:lang w:val="fr-FR"/>
        </w:rPr>
      </w:pPr>
    </w:p>
    <w:p w14:paraId="36775C60" w14:textId="77777777" w:rsidR="003B7C02" w:rsidRPr="00A363E0" w:rsidRDefault="003B7C02" w:rsidP="00E4633C">
      <w:pPr>
        <w:pStyle w:val="Footer"/>
        <w:tabs>
          <w:tab w:val="clear" w:pos="4153"/>
          <w:tab w:val="clear" w:pos="8306"/>
          <w:tab w:val="left" w:pos="5245"/>
        </w:tabs>
        <w:jc w:val="center"/>
        <w:rPr>
          <w:rFonts w:ascii="Arial" w:hAnsi="Arial" w:cs="Arial"/>
          <w:sz w:val="22"/>
          <w:szCs w:val="22"/>
          <w:lang w:val="fr-FR"/>
        </w:rPr>
      </w:pPr>
    </w:p>
    <w:p w14:paraId="1C1FA4E5" w14:textId="7DF10EAB" w:rsidR="008D23A7" w:rsidRPr="00A363E0" w:rsidRDefault="00A452B6" w:rsidP="00E4633C">
      <w:pPr>
        <w:pStyle w:val="Footer"/>
        <w:jc w:val="center"/>
        <w:rPr>
          <w:rFonts w:ascii="Arial" w:hAnsi="Arial" w:cs="Arial"/>
          <w:b/>
          <w:sz w:val="22"/>
          <w:szCs w:val="22"/>
          <w:lang w:val="fr-FR"/>
        </w:rPr>
      </w:pPr>
      <w:r>
        <w:rPr>
          <w:rFonts w:ascii="Arial" w:hAnsi="Arial" w:cs="Arial"/>
          <w:b/>
          <w:bCs/>
          <w:sz w:val="22"/>
          <w:szCs w:val="22"/>
          <w:lang w:val="es"/>
        </w:rPr>
        <w:t xml:space="preserve">TRIGÉSIMA PRIMERA REUNIÓN DEL GRUPO INTERGUBERNAMENTAL DE COORDINACIÓN </w:t>
      </w:r>
      <w:r>
        <w:rPr>
          <w:rFonts w:ascii="Arial" w:hAnsi="Arial" w:cs="Arial"/>
          <w:sz w:val="22"/>
          <w:szCs w:val="22"/>
          <w:lang w:val="es"/>
        </w:rPr>
        <w:br/>
      </w:r>
      <w:r>
        <w:rPr>
          <w:rFonts w:ascii="Arial" w:hAnsi="Arial" w:cs="Arial"/>
          <w:b/>
          <w:bCs/>
          <w:sz w:val="22"/>
          <w:szCs w:val="22"/>
          <w:lang w:val="es"/>
        </w:rPr>
        <w:t xml:space="preserve">PARA EL SISTEMA DE ALERTA Y MITIGACIÓN DE TSUNAMIS DEL PACÍFICO </w:t>
      </w:r>
    </w:p>
    <w:p w14:paraId="7789CE7B" w14:textId="77777777" w:rsidR="0099215A" w:rsidRPr="00A363E0" w:rsidRDefault="0099215A" w:rsidP="0099215A">
      <w:pPr>
        <w:pStyle w:val="Footer"/>
        <w:rPr>
          <w:rFonts w:ascii="Arial" w:hAnsi="Arial" w:cs="Arial"/>
          <w:bCs/>
          <w:sz w:val="22"/>
          <w:szCs w:val="22"/>
          <w:lang w:val="fr-FR"/>
        </w:rPr>
      </w:pPr>
    </w:p>
    <w:p w14:paraId="1BC8C84D" w14:textId="43BADC53" w:rsidR="0099215A" w:rsidRPr="00BD5840" w:rsidRDefault="00873F2D" w:rsidP="0099215A">
      <w:pPr>
        <w:pStyle w:val="Footer"/>
        <w:jc w:val="center"/>
        <w:rPr>
          <w:rFonts w:ascii="Arial" w:hAnsi="Arial" w:cs="Arial"/>
          <w:bCs/>
          <w:sz w:val="22"/>
          <w:szCs w:val="22"/>
        </w:rPr>
      </w:pPr>
      <w:r>
        <w:rPr>
          <w:rFonts w:ascii="Arial" w:hAnsi="Arial" w:cs="Arial"/>
          <w:sz w:val="22"/>
          <w:szCs w:val="22"/>
          <w:lang w:val="es"/>
        </w:rPr>
        <w:t>7-11 de abril de 2025, Pekín, China</w:t>
      </w:r>
    </w:p>
    <w:p w14:paraId="6039974D" w14:textId="77777777" w:rsidR="003D36F0" w:rsidRPr="00BD5840" w:rsidRDefault="003D36F0" w:rsidP="0099215A">
      <w:pPr>
        <w:pStyle w:val="Footer"/>
        <w:rPr>
          <w:rFonts w:ascii="Arial" w:hAnsi="Arial" w:cs="Arial"/>
          <w:bCs/>
          <w:sz w:val="22"/>
          <w:szCs w:val="22"/>
        </w:rPr>
      </w:pPr>
    </w:p>
    <w:p w14:paraId="4D01FC82" w14:textId="77777777" w:rsidR="003D36F0" w:rsidRPr="00BD5840" w:rsidRDefault="003D36F0" w:rsidP="00E4633C">
      <w:pPr>
        <w:pStyle w:val="Footer"/>
        <w:jc w:val="center"/>
        <w:rPr>
          <w:rFonts w:ascii="Arial" w:hAnsi="Arial" w:cs="Arial"/>
          <w:bCs/>
          <w:sz w:val="22"/>
          <w:szCs w:val="22"/>
        </w:rPr>
      </w:pPr>
    </w:p>
    <w:p w14:paraId="2C94442B" w14:textId="77777777" w:rsidR="00EA249B" w:rsidRPr="00BD5840" w:rsidRDefault="00EA249B" w:rsidP="00E4633C">
      <w:pPr>
        <w:pStyle w:val="Footer"/>
        <w:jc w:val="center"/>
        <w:rPr>
          <w:rFonts w:ascii="Arial" w:hAnsi="Arial" w:cs="Arial"/>
          <w:bCs/>
          <w:sz w:val="22"/>
          <w:szCs w:val="22"/>
        </w:rPr>
      </w:pPr>
    </w:p>
    <w:p w14:paraId="5D943631" w14:textId="3935C7C8" w:rsidR="003B7C02" w:rsidRPr="00BD5840" w:rsidRDefault="004D79DE" w:rsidP="00667EEC">
      <w:pPr>
        <w:pStyle w:val="Footer"/>
        <w:tabs>
          <w:tab w:val="clear" w:pos="4153"/>
          <w:tab w:val="clear" w:pos="8306"/>
        </w:tabs>
        <w:spacing w:after="240"/>
        <w:jc w:val="both"/>
        <w:rPr>
          <w:rFonts w:ascii="Arial" w:hAnsi="Arial" w:cs="Arial"/>
          <w:b/>
          <w:bCs/>
          <w:sz w:val="22"/>
          <w:szCs w:val="22"/>
        </w:rPr>
      </w:pPr>
      <w:r>
        <w:rPr>
          <w:noProof/>
          <w:lang w:val="es"/>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A363E0" w:rsidRDefault="00780A7E" w:rsidP="00B96458">
                            <w:pPr>
                              <w:pStyle w:val="Footer"/>
                              <w:tabs>
                                <w:tab w:val="clear" w:pos="4153"/>
                                <w:tab w:val="clear" w:pos="8306"/>
                              </w:tabs>
                              <w:spacing w:after="240"/>
                              <w:jc w:val="center"/>
                              <w:rPr>
                                <w:rFonts w:ascii="Arial" w:hAnsi="Arial" w:cs="Arial"/>
                                <w:b/>
                                <w:bCs/>
                                <w:sz w:val="22"/>
                                <w:szCs w:val="22"/>
                                <w:lang w:val="fr-FR"/>
                              </w:rPr>
                            </w:pPr>
                            <w:r>
                              <w:rPr>
                                <w:rFonts w:ascii="Arial" w:hAnsi="Arial" w:cs="Arial"/>
                                <w:b/>
                                <w:bCs/>
                                <w:sz w:val="22"/>
                                <w:szCs w:val="22"/>
                                <w:lang w:val="es"/>
                              </w:rPr>
                              <w:t>RESUMEN DISPOSITIVO</w:t>
                            </w:r>
                          </w:p>
                          <w:p w14:paraId="49B59CEC" w14:textId="6E9A60D8" w:rsidR="003D36F0" w:rsidRPr="00A363E0" w:rsidRDefault="00780A7E" w:rsidP="0099215A">
                            <w:pPr>
                              <w:pStyle w:val="BodyText"/>
                              <w:spacing w:after="200" w:line="239" w:lineRule="auto"/>
                              <w:ind w:left="142" w:right="47"/>
                              <w:jc w:val="both"/>
                              <w:rPr>
                                <w:rFonts w:ascii="Arial" w:hAnsi="Arial" w:cs="Arial"/>
                                <w:lang w:val="fr-FR"/>
                              </w:rPr>
                            </w:pPr>
                            <w:r>
                              <w:rPr>
                                <w:rFonts w:ascii="Arial" w:hAnsi="Arial" w:cs="Arial"/>
                                <w:lang w:val="es"/>
                              </w:rPr>
                              <w:t xml:space="preserve">De conformidad con el artículo 48.3 del Reglamento de los órganos subsidiarios principales de la Comisión, el Grupo Intergubernamental de Coordinación del Sistema de Alerta contra los Tsunamis y Atenuación de sus Efectos en el Pacífico debe informar a un órgano rector sobre sus reuniones. La documentación y la información de la reunión están disponibles </w:t>
                            </w:r>
                            <w:hyperlink r:id="rId11" w:anchor="overview" w:history="1">
                              <w:r>
                                <w:rPr>
                                  <w:rStyle w:val="Hyperlink"/>
                                  <w:rFonts w:ascii="Arial" w:hAnsi="Arial" w:cs="Arial"/>
                                  <w:lang w:val="es"/>
                                </w:rPr>
                                <w:t>en línea</w:t>
                              </w:r>
                            </w:hyperlink>
                            <w:r>
                              <w:rPr>
                                <w:rFonts w:ascii="Arial" w:hAnsi="Arial" w:cs="Arial"/>
                                <w:lang w:val="es"/>
                              </w:rPr>
                              <w:t>.</w:t>
                            </w:r>
                          </w:p>
                          <w:p w14:paraId="31570546" w14:textId="4B28FCDF" w:rsidR="003D36F0" w:rsidRPr="00A363E0" w:rsidRDefault="003D36F0" w:rsidP="00780A7E">
                            <w:pPr>
                              <w:pStyle w:val="BodyText"/>
                              <w:spacing w:after="200" w:line="239" w:lineRule="auto"/>
                              <w:ind w:left="142" w:right="47"/>
                              <w:jc w:val="both"/>
                              <w:rPr>
                                <w:rFonts w:ascii="Arial" w:hAnsi="Arial" w:cs="Arial"/>
                                <w:lang w:val="fr-FR"/>
                              </w:rPr>
                            </w:pPr>
                            <w:r>
                              <w:rPr>
                                <w:rFonts w:asciiTheme="minorBidi" w:hAnsiTheme="minorBidi"/>
                                <w:lang w:val="es"/>
                              </w:rPr>
                              <w:t>Se invitará a la Asamblea de la COI, en su 33ª reunión, a examinar el presente Resumen Dispositivo y las recomendaciones que contiene.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A363E0" w:rsidRDefault="00780A7E" w:rsidP="00B96458">
                      <w:pPr>
                        <w:pStyle w:val="Footer"/>
                        <w:tabs>
                          <w:tab w:val="clear" w:pos="4153"/>
                          <w:tab w:val="clear" w:pos="8306"/>
                        </w:tabs>
                        <w:spacing w:after="240"/>
                        <w:jc w:val="center"/>
                        <w:rPr>
                          <w:rFonts w:ascii="Arial" w:hAnsi="Arial" w:cs="Arial"/>
                          <w:b/>
                          <w:bCs/>
                          <w:sz w:val="22"/>
                          <w:szCs w:val="22"/>
                          <w:lang w:val="fr-FR"/>
                        </w:rPr>
                      </w:pPr>
                      <w:r>
                        <w:rPr>
                          <w:rFonts w:ascii="Arial" w:hAnsi="Arial" w:cs="Arial"/>
                          <w:b/>
                          <w:bCs/>
                          <w:sz w:val="22"/>
                          <w:szCs w:val="22"/>
                          <w:lang w:val="es"/>
                        </w:rPr>
                        <w:t>RESUMEN DISPOSITIVO</w:t>
                      </w:r>
                    </w:p>
                    <w:p w14:paraId="49B59CEC" w14:textId="6E9A60D8" w:rsidR="003D36F0" w:rsidRPr="00A363E0" w:rsidRDefault="00780A7E" w:rsidP="0099215A">
                      <w:pPr>
                        <w:pStyle w:val="BodyText"/>
                        <w:spacing w:after="200" w:line="239" w:lineRule="auto"/>
                        <w:ind w:left="142" w:right="47"/>
                        <w:jc w:val="both"/>
                        <w:rPr>
                          <w:rFonts w:ascii="Arial" w:hAnsi="Arial" w:cs="Arial"/>
                          <w:lang w:val="fr-FR"/>
                        </w:rPr>
                      </w:pPr>
                      <w:r>
                        <w:rPr>
                          <w:rFonts w:ascii="Arial" w:hAnsi="Arial" w:cs="Arial"/>
                          <w:lang w:val="es"/>
                        </w:rPr>
                        <w:t xml:space="preserve">De conformidad con el artículo 48.3 del Reglamento de los órganos subsidiarios principales de la Comisión, el Grupo Intergubernamental de Coordinación del Sistema de Alerta contra los Tsunamis y Atenuación de sus Efectos en el Pacífico debe informar a un órgano rector sobre sus reuniones. La documentación y la información de la reunión están disponibles </w:t>
                      </w:r>
                      <w:hyperlink r:id="rId12" w:anchor="overview" w:history="1">
                        <w:r>
                          <w:rPr>
                            <w:rStyle w:val="Hyperlink"/>
                            <w:rFonts w:ascii="Arial" w:hAnsi="Arial" w:cs="Arial"/>
                            <w:lang w:val="es"/>
                          </w:rPr>
                          <w:t>en línea</w:t>
                        </w:r>
                      </w:hyperlink>
                      <w:r>
                        <w:rPr>
                          <w:rFonts w:ascii="Arial" w:hAnsi="Arial" w:cs="Arial"/>
                          <w:lang w:val="es"/>
                        </w:rPr>
                        <w:t>.</w:t>
                      </w:r>
                    </w:p>
                    <w:p w14:paraId="31570546" w14:textId="4B28FCDF" w:rsidR="003D36F0" w:rsidRPr="00A363E0" w:rsidRDefault="003D36F0" w:rsidP="00780A7E">
                      <w:pPr>
                        <w:pStyle w:val="BodyText"/>
                        <w:spacing w:after="200" w:line="239" w:lineRule="auto"/>
                        <w:ind w:left="142" w:right="47"/>
                        <w:jc w:val="both"/>
                        <w:rPr>
                          <w:rFonts w:ascii="Arial" w:hAnsi="Arial" w:cs="Arial"/>
                          <w:lang w:val="fr-FR"/>
                        </w:rPr>
                      </w:pPr>
                      <w:r>
                        <w:rPr>
                          <w:rFonts w:asciiTheme="minorBidi" w:hAnsiTheme="minorBidi"/>
                          <w:lang w:val="es"/>
                        </w:rPr>
                        <w:t>Se invitará a la Asamblea de la COI, en su 33ª reunión, a examinar el presente Resumen Dispositivo y las recomendaciones que contiene.</w:t>
                      </w:r>
                    </w:p>
                  </w:txbxContent>
                </v:textbox>
                <w10:wrap type="square"/>
              </v:shape>
            </w:pict>
          </mc:Fallback>
        </mc:AlternateContent>
      </w:r>
    </w:p>
    <w:p w14:paraId="19EFEA3E" w14:textId="77777777" w:rsidR="003B7C02" w:rsidRPr="00BD5840" w:rsidRDefault="003B7C02" w:rsidP="00667EEC">
      <w:pPr>
        <w:pStyle w:val="Footer"/>
        <w:tabs>
          <w:tab w:val="clear" w:pos="4153"/>
          <w:tab w:val="clear" w:pos="8306"/>
        </w:tabs>
        <w:spacing w:after="240"/>
        <w:jc w:val="both"/>
        <w:rPr>
          <w:rFonts w:ascii="Arial" w:hAnsi="Arial" w:cs="Arial"/>
          <w:b/>
          <w:bCs/>
          <w:sz w:val="22"/>
          <w:szCs w:val="22"/>
        </w:rPr>
      </w:pPr>
    </w:p>
    <w:p w14:paraId="4A6B7FD3"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1913A1CA"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21327796"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2822679F"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5A7125AB" w14:textId="77777777" w:rsidR="00E617DC" w:rsidRPr="00BD5840" w:rsidRDefault="00E617DC" w:rsidP="00E617DC">
      <w:pPr>
        <w:tabs>
          <w:tab w:val="left" w:pos="284"/>
        </w:tabs>
        <w:ind w:right="-198"/>
        <w:jc w:val="both"/>
        <w:rPr>
          <w:rFonts w:ascii="Arial" w:hAnsi="Arial" w:cs="Arial"/>
        </w:rPr>
      </w:pPr>
    </w:p>
    <w:p w14:paraId="18A975A6" w14:textId="77777777" w:rsidR="00E617DC" w:rsidRPr="00BD5840" w:rsidRDefault="00E617DC" w:rsidP="00E617DC">
      <w:pPr>
        <w:tabs>
          <w:tab w:val="left" w:pos="284"/>
        </w:tabs>
        <w:ind w:right="-198"/>
        <w:jc w:val="both"/>
        <w:rPr>
          <w:rFonts w:ascii="Arial" w:hAnsi="Arial" w:cs="Arial"/>
        </w:rPr>
      </w:pPr>
    </w:p>
    <w:p w14:paraId="560BFCBC" w14:textId="77777777" w:rsidR="00E617DC" w:rsidRPr="00BD5840" w:rsidRDefault="00E617DC" w:rsidP="007A563B">
      <w:pPr>
        <w:pStyle w:val="ListParagraph"/>
        <w:tabs>
          <w:tab w:val="left" w:pos="284"/>
        </w:tabs>
        <w:spacing w:after="0" w:line="240" w:lineRule="auto"/>
        <w:ind w:left="-270" w:right="-198"/>
        <w:jc w:val="both"/>
        <w:rPr>
          <w:rFonts w:ascii="Arial" w:hAnsi="Arial" w:cs="Arial"/>
        </w:rPr>
      </w:pPr>
    </w:p>
    <w:p w14:paraId="40C3E170" w14:textId="77777777" w:rsidR="001913B0" w:rsidRPr="00BD5840" w:rsidRDefault="001913B0" w:rsidP="007A563B">
      <w:pPr>
        <w:pStyle w:val="ListParagraph"/>
        <w:tabs>
          <w:tab w:val="left" w:pos="284"/>
        </w:tabs>
        <w:spacing w:after="0" w:line="240" w:lineRule="auto"/>
        <w:ind w:left="-270" w:right="-198"/>
        <w:jc w:val="both"/>
        <w:rPr>
          <w:rFonts w:ascii="Arial" w:hAnsi="Arial" w:cs="Arial"/>
        </w:rPr>
      </w:pPr>
    </w:p>
    <w:p w14:paraId="3B135475" w14:textId="631F04D6" w:rsidR="00EB0563" w:rsidRPr="00A363E0" w:rsidRDefault="00097219" w:rsidP="00203CF2">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sz w:val="22"/>
          <w:szCs w:val="22"/>
          <w:lang w:val="es"/>
        </w:rPr>
        <w:t xml:space="preserve">La 31ª reunión del Grupo Intergubernamental de Coordinación UNESCO-COI del Sistema de Alerta contra los Tsunamis y Atenuación de sus Efectos en el Pacífico (ICG/PTWS) se celebró del 7 al 11 de abril de 2025 en Pekín (China). La reunión se celebró en formato híbrido (presencial y en línea) y asistieron 62 delegados de 24 Estados Miembros de la región del Océano Pacífico [Australia, Canadá, Chile, China, Colombia, Costa Rica, Ecuador, Estados Unidos de América, Federación de Rusia, Fiji, Filipinas, Francia, Indonesia, Japón, Malasia, México, Micronesia (Estados Federados de), Nicaragua, Nueva Zelanda, Papúa Nueva Guinea, Islas Salomón, República de Corea, Tonga y Vanuatu]. También asistieron a la reunión 32 observadores de 14 países (Argentina, Ecuador, Estados Unidos de América, Federación Rusa, Francia, Haití, India, Indonesia, Italia, Japón, Nueva Zelanda, Reino Unido de Gran Bretaña e Irlanda del Norte, Singapur y Tailandia). </w:t>
      </w:r>
    </w:p>
    <w:p w14:paraId="35D2D95C" w14:textId="6B909BC9" w:rsidR="00E21FB9" w:rsidRPr="00BD5840" w:rsidRDefault="00E617DC" w:rsidP="00EB0563">
      <w:pPr>
        <w:numPr>
          <w:ilvl w:val="0"/>
          <w:numId w:val="54"/>
        </w:numPr>
        <w:tabs>
          <w:tab w:val="left" w:pos="709"/>
        </w:tabs>
        <w:autoSpaceDE w:val="0"/>
        <w:autoSpaceDN w:val="0"/>
        <w:adjustRightInd w:val="0"/>
        <w:spacing w:before="120" w:after="120" w:line="240" w:lineRule="atLeast"/>
        <w:ind w:left="0" w:firstLine="0"/>
        <w:jc w:val="both"/>
        <w:rPr>
          <w:rFonts w:ascii="Arial" w:hAnsi="Arial" w:cs="Arial"/>
          <w:sz w:val="22"/>
          <w:szCs w:val="22"/>
        </w:rPr>
      </w:pPr>
      <w:r>
        <w:rPr>
          <w:rFonts w:ascii="Arial" w:hAnsi="Arial"/>
          <w:b/>
          <w:bCs/>
          <w:sz w:val="22"/>
          <w:szCs w:val="22"/>
          <w:lang w:val="es"/>
        </w:rPr>
        <w:t xml:space="preserve">El GIC </w:t>
      </w:r>
      <w:r>
        <w:rPr>
          <w:rFonts w:ascii="Arial" w:hAnsi="Arial"/>
          <w:sz w:val="22"/>
          <w:szCs w:val="22"/>
          <w:lang w:val="es"/>
        </w:rPr>
        <w:t xml:space="preserve">decidió continuar: Grupo de Trabajo 1 Comprensión del Riesgo de Tsunami; GT2 Detección, Alerta y Difusión de Tsunamis; GT2 Equipo de Trabajo sobre Proveedores de Servicios de Tsunami; </w:t>
      </w:r>
      <w:r>
        <w:rPr>
          <w:lang w:val="es"/>
        </w:rPr>
        <w:t>GT2</w:t>
      </w:r>
      <w:r>
        <w:rPr>
          <w:rFonts w:ascii="Arial" w:hAnsi="Arial"/>
          <w:color w:val="000000"/>
          <w:sz w:val="22"/>
          <w:szCs w:val="22"/>
          <w:lang w:val="es"/>
        </w:rPr>
        <w:t xml:space="preserve"> Equipo de Trabajo sobre Predicción de Tsunamis a partir deObservaciones Oceánicas ; GT2 Equipo de Trabajo</w:t>
      </w:r>
      <w:r>
        <w:rPr>
          <w:rFonts w:ascii="Arial" w:hAnsi="Arial"/>
          <w:sz w:val="22"/>
          <w:szCs w:val="22"/>
          <w:lang w:val="es"/>
        </w:rPr>
        <w:t xml:space="preserve">sobre </w:t>
      </w:r>
      <w:r>
        <w:rPr>
          <w:rFonts w:ascii="Arial" w:hAnsi="Arial"/>
          <w:color w:val="000000"/>
          <w:sz w:val="22"/>
          <w:szCs w:val="22"/>
          <w:lang w:val="es"/>
        </w:rPr>
        <w:t xml:space="preserve">Tsunamis Generados por Volcanes; GT3 </w:t>
      </w:r>
      <w:r>
        <w:rPr>
          <w:rFonts w:ascii="Arial" w:hAnsi="Arial"/>
          <w:sz w:val="22"/>
          <w:szCs w:val="22"/>
          <w:lang w:val="es"/>
        </w:rPr>
        <w:t xml:space="preserve">Gestión del Riesgo de Desastres; </w:t>
      </w:r>
      <w:r>
        <w:rPr>
          <w:rFonts w:ascii="Arial" w:hAnsi="Arial"/>
          <w:color w:val="000000"/>
          <w:sz w:val="22"/>
          <w:szCs w:val="22"/>
          <w:lang w:val="es"/>
        </w:rPr>
        <w:t>GT3 Equipo de trabajo</w:t>
      </w:r>
      <w:r>
        <w:rPr>
          <w:rFonts w:ascii="Arial" w:hAnsi="Arial"/>
          <w:sz w:val="22"/>
          <w:szCs w:val="22"/>
          <w:lang w:val="es"/>
        </w:rPr>
        <w:t xml:space="preserve"> de </w:t>
      </w:r>
      <w:r>
        <w:rPr>
          <w:rFonts w:ascii="Arial" w:hAnsi="Arial"/>
          <w:color w:val="000000"/>
          <w:sz w:val="22"/>
          <w:szCs w:val="22"/>
          <w:lang w:val="es"/>
        </w:rPr>
        <w:t>Tsunami Ready;</w:t>
      </w:r>
      <w:r>
        <w:rPr>
          <w:rFonts w:ascii="Arial" w:hAnsi="Arial"/>
          <w:sz w:val="22"/>
          <w:szCs w:val="22"/>
          <w:lang w:val="es"/>
        </w:rPr>
        <w:t xml:space="preserve">y grupos de trabajo subrregionales [grupo de trabajo regional en sistemas de mitigación y alerta de tsunamis en la región del mar de China Meridional (WG-SCS)]; </w:t>
      </w:r>
      <w:r>
        <w:rPr>
          <w:rFonts w:ascii="Arial" w:hAnsi="Arial"/>
          <w:color w:val="000000"/>
          <w:sz w:val="22"/>
          <w:szCs w:val="22"/>
          <w:lang w:val="es"/>
        </w:rPr>
        <w:t xml:space="preserve">GT-SCS Equipo de trabajo sobre desarrollo de capacidades y servicios; </w:t>
      </w:r>
      <w:r>
        <w:rPr>
          <w:rFonts w:ascii="Arial" w:hAnsi="Arial"/>
          <w:sz w:val="22"/>
          <w:szCs w:val="22"/>
          <w:lang w:val="es"/>
        </w:rPr>
        <w:t xml:space="preserve">Grupo </w:t>
      </w:r>
      <w:r>
        <w:rPr>
          <w:lang w:val="es"/>
        </w:rPr>
        <w:t>de Trabajo</w:t>
      </w:r>
      <w:r>
        <w:rPr>
          <w:rFonts w:ascii="Arial" w:hAnsi="Arial"/>
          <w:sz w:val="22"/>
          <w:szCs w:val="22"/>
          <w:lang w:val="es"/>
        </w:rPr>
        <w:t xml:space="preserve"> Regional sobre </w:t>
      </w:r>
      <w:r>
        <w:rPr>
          <w:lang w:val="es"/>
        </w:rPr>
        <w:t>el</w:t>
      </w:r>
      <w:r>
        <w:rPr>
          <w:rFonts w:ascii="Arial" w:hAnsi="Arial"/>
          <w:sz w:val="22"/>
          <w:szCs w:val="22"/>
          <w:lang w:val="es"/>
        </w:rPr>
        <w:t xml:space="preserve"> Sistema de Alerta contra los Tsunamis y Atenuación de sus Efectos en la Costa del Pacífico de América Central (WG-CA); Grupo de Trabajo Regional sobre el Sistema de Alerta contra los Tsunamis y Atenuación de sus Efectos en la Región del </w:t>
      </w:r>
      <w:r>
        <w:rPr>
          <w:rFonts w:ascii="Arial" w:hAnsi="Arial"/>
          <w:sz w:val="22"/>
          <w:szCs w:val="22"/>
          <w:lang w:val="es"/>
        </w:rPr>
        <w:lastRenderedPageBreak/>
        <w:t xml:space="preserve">Pacífico Sudoriental (WG-SEP); Grupo de Trabajo de los Países y Territorios Insulares del Pacífico sobre el Sistema de Alerta contra los Tsunamis y Atenuación de sus Efectos (WG-PICT); </w:t>
      </w:r>
      <w:r>
        <w:rPr>
          <w:lang w:val="es"/>
        </w:rPr>
        <w:t>Equipo de</w:t>
      </w:r>
      <w:r>
        <w:rPr>
          <w:rFonts w:ascii="Arial" w:hAnsi="Arial"/>
          <w:color w:val="000000"/>
          <w:sz w:val="22"/>
          <w:szCs w:val="22"/>
          <w:lang w:val="es"/>
        </w:rPr>
        <w:t>Trabajo del WG-PICT</w:t>
      </w:r>
      <w:r>
        <w:rPr>
          <w:rFonts w:ascii="Arial" w:hAnsi="Arial"/>
          <w:sz w:val="22"/>
          <w:szCs w:val="22"/>
          <w:lang w:val="es"/>
        </w:rPr>
        <w:t xml:space="preserve"> sobre el </w:t>
      </w:r>
      <w:r>
        <w:rPr>
          <w:rFonts w:ascii="Arial" w:hAnsi="Arial"/>
          <w:color w:val="000000"/>
          <w:sz w:val="22"/>
          <w:szCs w:val="22"/>
          <w:lang w:val="es"/>
        </w:rPr>
        <w:t>Intercambio de Datos Sísmicos en el Pacífico Sudoccidental; Equipo de Trabajo del WG-PICT</w:t>
      </w:r>
      <w:r>
        <w:rPr>
          <w:rFonts w:ascii="Arial" w:hAnsi="Arial"/>
          <w:sz w:val="22"/>
          <w:szCs w:val="22"/>
          <w:lang w:val="es"/>
        </w:rPr>
        <w:t xml:space="preserve"> sobre el </w:t>
      </w:r>
      <w:r>
        <w:rPr>
          <w:rFonts w:ascii="Arial" w:hAnsi="Arial"/>
          <w:color w:val="000000"/>
          <w:sz w:val="22"/>
          <w:szCs w:val="22"/>
          <w:lang w:val="es"/>
        </w:rPr>
        <w:t>Desarrollo de Capacidades</w:t>
      </w:r>
      <w:r>
        <w:rPr>
          <w:rFonts w:ascii="Arial" w:hAnsi="Arial"/>
          <w:sz w:val="22"/>
          <w:szCs w:val="22"/>
          <w:lang w:val="es"/>
        </w:rPr>
        <w:t xml:space="preserve">; </w:t>
      </w:r>
      <w:r>
        <w:rPr>
          <w:rFonts w:ascii="Arial" w:hAnsi="Arial"/>
          <w:color w:val="000000"/>
          <w:sz w:val="22"/>
          <w:szCs w:val="22"/>
          <w:lang w:val="es"/>
        </w:rPr>
        <w:t>Equipo de Trabajo del WG-PICT</w:t>
      </w:r>
      <w:r>
        <w:rPr>
          <w:rFonts w:ascii="Arial" w:hAnsi="Arial"/>
          <w:sz w:val="22"/>
          <w:szCs w:val="22"/>
          <w:lang w:val="es"/>
        </w:rPr>
        <w:t xml:space="preserve"> sobre </w:t>
      </w:r>
      <w:r>
        <w:rPr>
          <w:lang w:val="es"/>
        </w:rPr>
        <w:t xml:space="preserve"> Plataformas de Intercambio de Información</w:t>
      </w:r>
      <w:r>
        <w:rPr>
          <w:rFonts w:ascii="Arial" w:hAnsi="Arial"/>
          <w:color w:val="000000"/>
          <w:sz w:val="22"/>
          <w:szCs w:val="22"/>
          <w:lang w:val="es"/>
        </w:rPr>
        <w:t xml:space="preserve">; Equipo de Trabajo del Comité Directivo sobre Ejercicios PacWave. </w:t>
      </w:r>
      <w:r>
        <w:rPr>
          <w:rFonts w:ascii="Arial" w:hAnsi="Arial"/>
          <w:b/>
          <w:bCs/>
          <w:sz w:val="22"/>
          <w:szCs w:val="22"/>
          <w:lang w:val="es"/>
        </w:rPr>
        <w:t>Se decidió</w:t>
      </w:r>
      <w:r>
        <w:rPr>
          <w:rFonts w:ascii="Arial" w:hAnsi="Arial"/>
          <w:sz w:val="22"/>
          <w:szCs w:val="22"/>
          <w:lang w:val="es"/>
        </w:rPr>
        <w:t xml:space="preserve"> disolver el Equipo de Trabajo del GT2 sobre Redes de Sensores PTWS Integrados para la Detección y Caracterización de Tsunamis. </w:t>
      </w:r>
      <w:r>
        <w:rPr>
          <w:rFonts w:ascii="Arial" w:hAnsi="Arial"/>
          <w:i/>
          <w:iCs/>
          <w:sz w:val="22"/>
          <w:szCs w:val="22"/>
          <w:lang w:val="es"/>
        </w:rPr>
        <w:t xml:space="preserve">(Véase </w:t>
      </w:r>
      <w:hyperlink r:id="rId13" w:history="1">
        <w:r>
          <w:rPr>
            <w:rStyle w:val="Hyperlink"/>
            <w:rFonts w:ascii="Arial" w:hAnsi="Arial" w:cs="Arial"/>
            <w:i/>
            <w:iCs/>
            <w:sz w:val="22"/>
            <w:szCs w:val="22"/>
            <w:lang w:val="es"/>
          </w:rPr>
          <w:t>Estructura organizativa del ICG/PTWS</w:t>
        </w:r>
      </w:hyperlink>
      <w:r>
        <w:rPr>
          <w:i/>
          <w:iCs/>
          <w:lang w:val="es"/>
        </w:rPr>
        <w:t>)</w:t>
      </w:r>
      <w:r>
        <w:rPr>
          <w:rFonts w:ascii="Arial" w:hAnsi="Arial"/>
          <w:i/>
          <w:iCs/>
          <w:sz w:val="22"/>
          <w:szCs w:val="22"/>
          <w:lang w:val="es"/>
        </w:rPr>
        <w:t>.</w:t>
      </w:r>
    </w:p>
    <w:p w14:paraId="5592F92F" w14:textId="76636673" w:rsidR="00E617DC" w:rsidRPr="00A363E0" w:rsidRDefault="00E617DC"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es"/>
        </w:rPr>
        <w:t xml:space="preserve">El GIC decidió </w:t>
      </w:r>
      <w:r>
        <w:rPr>
          <w:rFonts w:ascii="Arial" w:hAnsi="Arial" w:cs="Arial"/>
          <w:sz w:val="22"/>
          <w:szCs w:val="22"/>
          <w:lang w:val="es"/>
        </w:rPr>
        <w:t>mantener el Comité de Dirección del PTWS con un mandato revisado para establecer una estructura permanente compuesta por tres vicepresidentes.</w:t>
      </w:r>
    </w:p>
    <w:p w14:paraId="4CD1FEA2" w14:textId="447130A7" w:rsidR="00E21FB9" w:rsidRPr="00A363E0" w:rsidRDefault="00E21FB9"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es"/>
        </w:rPr>
        <w:t>El GIC</w:t>
      </w:r>
      <w:r>
        <w:rPr>
          <w:rFonts w:ascii="Arial" w:hAnsi="Arial" w:cs="Arial"/>
          <w:sz w:val="22"/>
          <w:szCs w:val="22"/>
          <w:lang w:val="es"/>
        </w:rPr>
        <w:t xml:space="preserve"> </w:t>
      </w:r>
      <w:r>
        <w:rPr>
          <w:rFonts w:ascii="Arial" w:hAnsi="Arial" w:cs="Arial"/>
          <w:b/>
          <w:bCs/>
          <w:sz w:val="22"/>
          <w:szCs w:val="22"/>
          <w:lang w:val="es"/>
        </w:rPr>
        <w:t>ha reconocido</w:t>
      </w:r>
      <w:r>
        <w:rPr>
          <w:rFonts w:ascii="Arial" w:hAnsi="Arial" w:cs="Arial"/>
          <w:sz w:val="22"/>
          <w:szCs w:val="22"/>
          <w:lang w:val="es"/>
        </w:rPr>
        <w:t xml:space="preserve"> la realización de PacWave24 y la prueba por primera vez de la difusión de productos de seguridad marítima a </w:t>
      </w:r>
      <w:r>
        <w:rPr>
          <w:rFonts w:ascii="Arial" w:hAnsi="Arial" w:cs="Arial"/>
          <w:color w:val="000000" w:themeColor="text1"/>
          <w:sz w:val="22"/>
          <w:szCs w:val="22"/>
          <w:lang w:val="es"/>
        </w:rPr>
        <w:t>los Coordinadores NAVAREA en el Pacífico y en el Atlántico Sudoccidental (por ejemplo, NAVAREAs VI, X, XI, XII, XIII, XIV, XV y XVI)</w:t>
      </w:r>
      <w:r>
        <w:rPr>
          <w:rFonts w:ascii="Arial" w:hAnsi="Arial" w:cs="Arial"/>
          <w:sz w:val="22"/>
          <w:szCs w:val="22"/>
          <w:lang w:val="es"/>
        </w:rPr>
        <w:t xml:space="preserve">. </w:t>
      </w:r>
    </w:p>
    <w:p w14:paraId="7D519727" w14:textId="0267BFC9" w:rsidR="00610465" w:rsidRPr="00A363E0"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es"/>
        </w:rPr>
        <w:t>El GIC decidió</w:t>
      </w:r>
      <w:r>
        <w:rPr>
          <w:rFonts w:ascii="Arial" w:hAnsi="Arial" w:cs="Arial"/>
          <w:sz w:val="22"/>
          <w:szCs w:val="22"/>
          <w:lang w:val="es"/>
        </w:rPr>
        <w:t xml:space="preserve"> llevar a cabo un 12º Ejercicio Pacific Wave en 2026 (PacWave 26) entre septiembre y noviembre de 2024 para apoyar el Día Internacional para la Reducción del Riesgo de Desastres (13 de octubre) y el Día Mundial de Concienciación sobre los Tsunamis (5 de noviembre).</w:t>
      </w:r>
    </w:p>
    <w:p w14:paraId="29401EB9" w14:textId="44FE5EAF" w:rsidR="00E21FB9" w:rsidRPr="00A363E0" w:rsidRDefault="00610465"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color w:val="000000"/>
          <w:sz w:val="22"/>
          <w:szCs w:val="22"/>
          <w:lang w:val="es"/>
        </w:rPr>
        <w:t>El GIC aceptó</w:t>
      </w:r>
      <w:r>
        <w:rPr>
          <w:rFonts w:ascii="Arial" w:hAnsi="Arial" w:cs="Arial"/>
          <w:color w:val="000000"/>
          <w:sz w:val="22"/>
          <w:szCs w:val="22"/>
          <w:lang w:val="es"/>
        </w:rPr>
        <w:t xml:space="preserve"> </w:t>
      </w:r>
      <w:r>
        <w:rPr>
          <w:rFonts w:ascii="Arial" w:hAnsi="Arial" w:cs="Arial"/>
          <w:b/>
          <w:bCs/>
          <w:color w:val="000000"/>
          <w:sz w:val="22"/>
          <w:szCs w:val="22"/>
          <w:lang w:val="es"/>
        </w:rPr>
        <w:t>con agradecimiento</w:t>
      </w:r>
      <w:r>
        <w:rPr>
          <w:rFonts w:ascii="Arial" w:hAnsi="Arial" w:cs="Arial"/>
          <w:color w:val="000000"/>
          <w:sz w:val="22"/>
          <w:szCs w:val="22"/>
          <w:lang w:val="es"/>
        </w:rPr>
        <w:t xml:space="preserve"> la amable oferta de Ecuador de acoger la 32</w:t>
      </w:r>
      <w:r>
        <w:rPr>
          <w:rFonts w:ascii="Arial" w:hAnsi="Arial" w:cs="Arial"/>
          <w:color w:val="000000"/>
          <w:sz w:val="22"/>
          <w:szCs w:val="22"/>
          <w:vertAlign w:val="superscript"/>
          <w:lang w:val="es"/>
        </w:rPr>
        <w:t>ª</w:t>
      </w:r>
      <w:r>
        <w:rPr>
          <w:rFonts w:ascii="Arial" w:hAnsi="Arial" w:cs="Arial"/>
          <w:color w:val="000000"/>
          <w:sz w:val="22"/>
          <w:szCs w:val="22"/>
          <w:lang w:val="es"/>
        </w:rPr>
        <w:t xml:space="preserve"> reunión del ICG/PTWS en Ecuador en 2027, cuyas fechas concretas se determinarán más adelante.</w:t>
      </w:r>
    </w:p>
    <w:p w14:paraId="695AEB15" w14:textId="5010294B" w:rsidR="003C665B" w:rsidRPr="00A363E0"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Recordando</w:t>
      </w:r>
      <w:r>
        <w:rPr>
          <w:rFonts w:ascii="Arial" w:hAnsi="Arial" w:cs="Arial"/>
          <w:color w:val="000000"/>
          <w:sz w:val="22"/>
          <w:szCs w:val="22"/>
          <w:lang w:val="es"/>
        </w:rPr>
        <w:t xml:space="preserve"> las preocupaciones relativas a la actividad sísmica en la región del Arco de Scotia reflejadas en el Resumen Ejecutivo de su reunión anterior (informe IOC/ICG/PTWS-XXX/3s), el GIC </w:t>
      </w:r>
      <w:r>
        <w:rPr>
          <w:rFonts w:ascii="Arial" w:hAnsi="Arial" w:cs="Arial"/>
          <w:b/>
          <w:bCs/>
          <w:color w:val="000000"/>
          <w:sz w:val="22"/>
          <w:szCs w:val="22"/>
          <w:lang w:val="es"/>
        </w:rPr>
        <w:t>invitó</w:t>
      </w:r>
      <w:r>
        <w:rPr>
          <w:rFonts w:ascii="Arial" w:hAnsi="Arial" w:cs="Arial"/>
          <w:color w:val="000000"/>
          <w:sz w:val="22"/>
          <w:szCs w:val="22"/>
          <w:lang w:val="es"/>
        </w:rPr>
        <w:t xml:space="preserve"> al GT1 y a la Secretaría a considerar la organización de un taller científico con el objetivo de evaluar el potencial tsunamigénico del Arco de Scotia en su impacto en la Zona de Servicio del PTWS.</w:t>
      </w:r>
    </w:p>
    <w:p w14:paraId="732B47FD" w14:textId="6BBEE0AA" w:rsidR="003C665B" w:rsidRPr="00A363E0"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 la necesidad de un compromiso activo de Argentina con el ICG/CARIBE-EWS y el ICG/PTWS en relación con las responsabilidades argentinas en materia de búsqueda y salvamento (SAR) y coordinación de NAVAREA VI, tal como se refleja en las "Decisiones y Resoluciones adoptadas" de la 57ª reunión del Consejo Ejecutivo en 2024, el GIC </w:t>
      </w:r>
      <w:r>
        <w:rPr>
          <w:rFonts w:ascii="Arial" w:hAnsi="Arial" w:cs="Arial"/>
          <w:b/>
          <w:bCs/>
          <w:color w:val="000000"/>
          <w:sz w:val="22"/>
          <w:szCs w:val="22"/>
          <w:lang w:val="es"/>
        </w:rPr>
        <w:t>tomó nota</w:t>
      </w:r>
      <w:r>
        <w:rPr>
          <w:rFonts w:ascii="Arial" w:hAnsi="Arial" w:cs="Arial"/>
          <w:color w:val="000000"/>
          <w:sz w:val="22"/>
          <w:szCs w:val="22"/>
          <w:lang w:val="es"/>
        </w:rPr>
        <w:t xml:space="preserve"> </w:t>
      </w:r>
      <w:r>
        <w:rPr>
          <w:rFonts w:ascii="Arial" w:hAnsi="Arial" w:cs="Arial"/>
          <w:b/>
          <w:bCs/>
          <w:color w:val="000000"/>
          <w:sz w:val="22"/>
          <w:szCs w:val="22"/>
          <w:lang w:val="es"/>
        </w:rPr>
        <w:t>con satisfacción</w:t>
      </w:r>
      <w:r>
        <w:rPr>
          <w:rFonts w:ascii="Arial" w:hAnsi="Arial" w:cs="Arial"/>
          <w:color w:val="000000"/>
          <w:sz w:val="22"/>
          <w:szCs w:val="22"/>
          <w:lang w:val="es"/>
        </w:rPr>
        <w:t xml:space="preserve"> de la activa participación de Argentina en el PacWave24 en calidad de Coordinador de NAVAREA VI a los efectos de ensayar la difusión de productos de seguridad marítima en caso de tsunami, y </w:t>
      </w:r>
      <w:r>
        <w:rPr>
          <w:rFonts w:ascii="Arial" w:hAnsi="Arial" w:cs="Arial"/>
          <w:b/>
          <w:bCs/>
          <w:color w:val="000000"/>
          <w:sz w:val="22"/>
          <w:szCs w:val="22"/>
          <w:lang w:val="es"/>
        </w:rPr>
        <w:t>alentó a</w:t>
      </w:r>
      <w:r>
        <w:rPr>
          <w:rFonts w:ascii="Arial" w:hAnsi="Arial" w:cs="Arial"/>
          <w:color w:val="000000"/>
          <w:sz w:val="22"/>
          <w:szCs w:val="22"/>
          <w:lang w:val="es"/>
        </w:rPr>
        <w:t xml:space="preserve"> Argentina a participar activamente en los futuros ejercicios PacWave con respecto a sus responsabilidades de coordinación de Búsqueda y Salvamento (SAR) y NAVAREA VI,</w:t>
      </w:r>
    </w:p>
    <w:p w14:paraId="28E536FD" w14:textId="7E18849A" w:rsidR="003C665B" w:rsidRPr="00A363E0" w:rsidRDefault="00EB0563"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El GIC respaldó</w:t>
      </w:r>
      <w:r>
        <w:rPr>
          <w:rFonts w:ascii="Arial" w:hAnsi="Arial" w:cs="Arial"/>
          <w:color w:val="000000"/>
          <w:sz w:val="22"/>
          <w:szCs w:val="22"/>
          <w:lang w:val="es"/>
        </w:rPr>
        <w:t xml:space="preserve"> la realización de la primera Evaluación UNESCO-COI de la Capacidad de Preparación frente a los Tsunamis en el Pacífico, que constituye la primera medición a escala de todo el sistema de las capacidades existentes para orientar los esfuerzos futuros de mejora del PTWS, con el amable apoyo de la CESPAP, y </w:t>
      </w:r>
      <w:r>
        <w:rPr>
          <w:rFonts w:ascii="Arial" w:hAnsi="Arial" w:cs="Arial"/>
          <w:b/>
          <w:bCs/>
          <w:color w:val="000000"/>
          <w:sz w:val="22"/>
          <w:szCs w:val="22"/>
          <w:lang w:val="es"/>
        </w:rPr>
        <w:t>pidió</w:t>
      </w:r>
      <w:r>
        <w:rPr>
          <w:rFonts w:ascii="Arial" w:hAnsi="Arial" w:cs="Arial"/>
          <w:color w:val="000000"/>
          <w:sz w:val="22"/>
          <w:szCs w:val="22"/>
          <w:lang w:val="es"/>
        </w:rPr>
        <w:t xml:space="preserve"> que el Comité de Dirección del PTWS desempeñara un papel preponderante durante el periodo entre reuniones para la ejecución, la presentación de informes y el seguimiento.</w:t>
      </w:r>
    </w:p>
    <w:p w14:paraId="40913E48" w14:textId="4BEA4CED" w:rsidR="00D71ADF" w:rsidRPr="00A363E0" w:rsidRDefault="00EB0563"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El GIC recordó</w:t>
      </w:r>
      <w:r>
        <w:rPr>
          <w:rFonts w:ascii="Arial" w:hAnsi="Arial" w:cs="Arial"/>
          <w:color w:val="000000"/>
          <w:sz w:val="22"/>
          <w:szCs w:val="22"/>
          <w:lang w:val="es"/>
        </w:rPr>
        <w:t xml:space="preserve"> la recomendación que había formulado en su última reunión de que se autorizara el inicio de las operaciones plenamente funcionales del Centro de Asesoramiento sobre Tsunamis para América Central (CATAC), con efecto después de la reunión de los órganos rectores de la COI en junio de 2024, y que la fecha exacta se decidiera previa coordinación con el ICG/CARIBE-EWS (Recomendación ICG/PTWS-XXX-6), y </w:t>
      </w:r>
      <w:r>
        <w:rPr>
          <w:rFonts w:ascii="Arial" w:hAnsi="Arial" w:cs="Arial"/>
          <w:b/>
          <w:bCs/>
          <w:color w:val="000000"/>
          <w:sz w:val="22"/>
          <w:szCs w:val="22"/>
          <w:lang w:val="es"/>
        </w:rPr>
        <w:t>tomó nota</w:t>
      </w:r>
      <w:r>
        <w:rPr>
          <w:rFonts w:ascii="Arial" w:hAnsi="Arial" w:cs="Arial"/>
          <w:color w:val="000000"/>
          <w:sz w:val="22"/>
          <w:szCs w:val="22"/>
          <w:lang w:val="es"/>
        </w:rPr>
        <w:t xml:space="preserve"> de la recomendación formulada por el ICG/CARIBE-EWS en su 17</w:t>
      </w:r>
      <w:r>
        <w:rPr>
          <w:rFonts w:ascii="Arial" w:hAnsi="Arial" w:cs="Arial"/>
          <w:color w:val="000000"/>
          <w:sz w:val="22"/>
          <w:szCs w:val="22"/>
          <w:vertAlign w:val="superscript"/>
          <w:lang w:val="es"/>
        </w:rPr>
        <w:t>ª</w:t>
      </w:r>
      <w:r>
        <w:rPr>
          <w:rFonts w:ascii="Arial" w:hAnsi="Arial" w:cs="Arial"/>
          <w:color w:val="000000"/>
          <w:sz w:val="22"/>
          <w:szCs w:val="22"/>
          <w:lang w:val="es"/>
        </w:rPr>
        <w:t xml:space="preserve"> reunión relativa a la revisión del CATAC como proveedor de servicios sobre tsunamis en su 18</w:t>
      </w:r>
      <w:r>
        <w:rPr>
          <w:rFonts w:ascii="Arial" w:hAnsi="Arial" w:cs="Arial"/>
          <w:color w:val="000000"/>
          <w:sz w:val="22"/>
          <w:szCs w:val="22"/>
          <w:vertAlign w:val="superscript"/>
          <w:lang w:val="es"/>
        </w:rPr>
        <w:t>ª</w:t>
      </w:r>
      <w:r>
        <w:rPr>
          <w:rFonts w:ascii="Arial" w:hAnsi="Arial" w:cs="Arial"/>
          <w:color w:val="000000"/>
          <w:sz w:val="22"/>
          <w:szCs w:val="22"/>
          <w:lang w:val="es"/>
        </w:rPr>
        <w:t xml:space="preserve"> reunión, en mayo de 2025, a fin de que la Asamblea de la COI pueda examinar la admisión definitiva del CATAC como TSP en junio de 2025 (Recomendación ICG/CARIBE-EWS-XVII.8).</w:t>
      </w:r>
    </w:p>
    <w:p w14:paraId="62678E52" w14:textId="7F2F0EE3" w:rsidR="00D71ADF" w:rsidRPr="00A363E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lastRenderedPageBreak/>
        <w:t>Tomando nota</w:t>
      </w:r>
      <w:r>
        <w:rPr>
          <w:rFonts w:ascii="Arial" w:hAnsi="Arial" w:cs="Arial"/>
          <w:color w:val="000000"/>
          <w:sz w:val="22"/>
          <w:szCs w:val="22"/>
          <w:lang w:val="es"/>
        </w:rPr>
        <w:t xml:space="preserve"> del obstáculo que supone la falta de datos batimétricos y topográficos de alta resolución para la elaboración de modelos de inundación en el contexto de la preparación para los tsunamis y el Programa de Reconocimiento Tsunami Ready, </w:t>
      </w:r>
      <w:r>
        <w:rPr>
          <w:rFonts w:ascii="Arial" w:hAnsi="Arial" w:cs="Arial"/>
          <w:b/>
          <w:bCs/>
          <w:color w:val="000000"/>
          <w:sz w:val="22"/>
          <w:szCs w:val="22"/>
          <w:lang w:val="es"/>
        </w:rPr>
        <w:t>el GIC pidió</w:t>
      </w:r>
      <w:r>
        <w:rPr>
          <w:rFonts w:ascii="Arial" w:hAnsi="Arial" w:cs="Arial"/>
          <w:color w:val="000000"/>
          <w:sz w:val="22"/>
          <w:szCs w:val="22"/>
          <w:lang w:val="es"/>
        </w:rPr>
        <w:t xml:space="preserve"> al GT1 que considerara la posibilidad de compilar las directrices existentes o elaborar nuevas directrices sobre técnicas de elaboración de modelos de inundación cuando no se disponga de datos batimétricos y topográficos de alta resolución, como parte de un enfoque multinivel de la evaluación probabilística del peligro de tsunamis (PTHTA), y </w:t>
      </w:r>
      <w:r>
        <w:rPr>
          <w:rFonts w:ascii="Arial" w:hAnsi="Arial" w:cs="Arial"/>
          <w:b/>
          <w:bCs/>
          <w:color w:val="000000"/>
          <w:sz w:val="22"/>
          <w:szCs w:val="22"/>
          <w:lang w:val="es"/>
        </w:rPr>
        <w:t>pidió además</w:t>
      </w:r>
      <w:r>
        <w:rPr>
          <w:rFonts w:ascii="Arial" w:hAnsi="Arial" w:cs="Arial"/>
          <w:color w:val="000000"/>
          <w:sz w:val="22"/>
          <w:szCs w:val="22"/>
          <w:lang w:val="es"/>
        </w:rPr>
        <w:t xml:space="preserve"> al GT1 que siguiera apoyando los estudios de evaluación del peligro de tsunamis en el Pacífico como parte de una evaluación global de los riesgos, en consonancia con el primer objetivo del ODTP de las Naciones Unidas, a saber, lograr una cobertura del 100 % de las costas propensas a los tsunamis.</w:t>
      </w:r>
    </w:p>
    <w:p w14:paraId="0D8733F1" w14:textId="1EC1E05E" w:rsidR="00D71ADF" w:rsidRPr="00A363E0" w:rsidRDefault="00D71ADF" w:rsidP="007A6EE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 la </w:t>
      </w:r>
      <w:hyperlink r:id="rId14" w:history="1">
        <w:r>
          <w:rPr>
            <w:rStyle w:val="Hyperlink"/>
            <w:rFonts w:ascii="Arial" w:hAnsi="Arial" w:cs="Arial"/>
            <w:sz w:val="22"/>
            <w:szCs w:val="22"/>
            <w:lang w:val="es"/>
          </w:rPr>
          <w:t>de la recomendación</w:t>
        </w:r>
      </w:hyperlink>
      <w:r>
        <w:rPr>
          <w:rFonts w:ascii="Arial" w:hAnsi="Arial" w:cs="Arial"/>
          <w:color w:val="000000"/>
          <w:sz w:val="22"/>
          <w:szCs w:val="22"/>
          <w:lang w:val="es"/>
        </w:rPr>
        <w:t xml:space="preserve"> del Grupo de Trabajo de la COI sobre sistemas de alerta contra tsunamis y otros peligros relacionados con el nivel del mar y atenuación de sus efectos (TOWS-WG) a la Asamblea de la COI en su 33ª reunión en 2025, en la que se pide a la Secretaría de la COI que elabore una metodología normalizada y mejorada para el acopio de información de contacto de los TNC/TWFP/NTWC, en estrecha colaboración con el Equipo de Trabajo sobre Operaciones de Vigilancia de Tsunamis (TT-TWO) y el Equipo de Trabajo sobre Gestión y Preparación para Desastres (TT-DMP), y para presentar su trabajo en la próxima reunión conjunta del TT-DMP y el TT-TWO,</w:t>
      </w:r>
      <w:r>
        <w:rPr>
          <w:rFonts w:ascii="Arial" w:hAnsi="Arial" w:cs="Arial"/>
          <w:b/>
          <w:bCs/>
          <w:color w:val="000000"/>
          <w:sz w:val="22"/>
          <w:szCs w:val="22"/>
          <w:lang w:val="es"/>
        </w:rPr>
        <w:t xml:space="preserve"> el GIC</w:t>
      </w:r>
      <w:r>
        <w:rPr>
          <w:rFonts w:ascii="Arial" w:hAnsi="Arial" w:cs="Arial"/>
          <w:color w:val="000000"/>
          <w:sz w:val="22"/>
          <w:szCs w:val="22"/>
          <w:lang w:val="es"/>
        </w:rPr>
        <w:t xml:space="preserve"> </w:t>
      </w:r>
      <w:r>
        <w:rPr>
          <w:rFonts w:ascii="Arial" w:hAnsi="Arial" w:cs="Arial"/>
          <w:b/>
          <w:bCs/>
          <w:color w:val="000000"/>
          <w:sz w:val="22"/>
          <w:szCs w:val="22"/>
          <w:lang w:val="es"/>
        </w:rPr>
        <w:t>pidió</w:t>
      </w:r>
      <w:r>
        <w:rPr>
          <w:rFonts w:ascii="Arial" w:hAnsi="Arial" w:cs="Arial"/>
          <w:color w:val="000000"/>
          <w:sz w:val="22"/>
          <w:szCs w:val="22"/>
          <w:lang w:val="es"/>
        </w:rPr>
        <w:t xml:space="preserve"> al Equipo de Trabajo sobre Proveedores de Servicios contra los Tsunamis (TT-TSP) del GT2 que investigara los requisitos de los TSP, TNC, NTWC y TWFP para que sirvieran de aportaciones a este esfuerzo. </w:t>
      </w:r>
    </w:p>
    <w:p w14:paraId="5AA929A0" w14:textId="4D4023FE" w:rsidR="00D71ADF" w:rsidRPr="00A363E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del Informe de la Secretaría sobre las mejores prácticas del ICG/NEAMTWS desde 2012 en relación con la realización de Pruebas de Comunicación del TSP en un calendario fijo, </w:t>
      </w:r>
      <w:r>
        <w:rPr>
          <w:rFonts w:ascii="Arial" w:hAnsi="Arial" w:cs="Arial"/>
          <w:b/>
          <w:bCs/>
          <w:color w:val="000000"/>
          <w:sz w:val="22"/>
          <w:szCs w:val="22"/>
          <w:lang w:val="es"/>
        </w:rPr>
        <w:t>el GIC</w:t>
      </w:r>
      <w:r>
        <w:rPr>
          <w:rFonts w:ascii="Arial" w:hAnsi="Arial" w:cs="Arial"/>
          <w:color w:val="000000"/>
          <w:sz w:val="22"/>
          <w:szCs w:val="22"/>
          <w:lang w:val="es"/>
        </w:rPr>
        <w:t xml:space="preserve"> </w:t>
      </w:r>
      <w:r>
        <w:rPr>
          <w:rFonts w:ascii="Arial" w:hAnsi="Arial" w:cs="Arial"/>
          <w:b/>
          <w:bCs/>
          <w:color w:val="000000"/>
          <w:sz w:val="22"/>
          <w:szCs w:val="22"/>
          <w:lang w:val="es"/>
        </w:rPr>
        <w:t>solicitó</w:t>
      </w:r>
      <w:r>
        <w:rPr>
          <w:rFonts w:ascii="Arial" w:hAnsi="Arial" w:cs="Arial"/>
          <w:color w:val="000000"/>
          <w:sz w:val="22"/>
          <w:szCs w:val="22"/>
          <w:lang w:val="es"/>
        </w:rPr>
        <w:t xml:space="preserve"> al GT2 TT-TSP que estudiara la aplicación de esta modalidad por parte de los Proveedores de Servicios de Tsunamis del ICG/PTWS a fin de eliminar la necesidad de emitir cartas circulares de la COI para la actividad regular de carácter operativo.</w:t>
      </w:r>
    </w:p>
    <w:p w14:paraId="2571C89C" w14:textId="30B199FF" w:rsidR="00D71ADF" w:rsidRPr="00A363E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 la Recomendación del TOWS-WG-XVIII a la Asamblea de la COI en su 33ª reunión en 2025 de que se establezcan acuerdos entre los TSP dentro de cada GIC para garantizar en todo momento la prestación de servicios en toda la Zona de Servicio del GIC, </w:t>
      </w:r>
      <w:r>
        <w:rPr>
          <w:rFonts w:ascii="Arial" w:hAnsi="Arial" w:cs="Arial"/>
          <w:b/>
          <w:bCs/>
          <w:color w:val="000000"/>
          <w:sz w:val="22"/>
          <w:szCs w:val="22"/>
          <w:lang w:val="es"/>
        </w:rPr>
        <w:t>el GIC</w:t>
      </w:r>
      <w:r>
        <w:rPr>
          <w:rFonts w:ascii="Arial" w:hAnsi="Arial" w:cs="Arial"/>
          <w:color w:val="000000"/>
          <w:sz w:val="22"/>
          <w:szCs w:val="22"/>
          <w:lang w:val="es"/>
        </w:rPr>
        <w:t xml:space="preserve"> </w:t>
      </w:r>
      <w:r>
        <w:rPr>
          <w:rFonts w:ascii="Arial" w:hAnsi="Arial" w:cs="Arial"/>
          <w:b/>
          <w:bCs/>
          <w:color w:val="000000"/>
          <w:sz w:val="22"/>
          <w:szCs w:val="22"/>
          <w:lang w:val="es"/>
        </w:rPr>
        <w:t>pidió</w:t>
      </w:r>
      <w:r>
        <w:rPr>
          <w:rFonts w:ascii="Arial" w:hAnsi="Arial" w:cs="Arial"/>
          <w:color w:val="000000"/>
          <w:sz w:val="22"/>
          <w:szCs w:val="22"/>
          <w:lang w:val="es"/>
        </w:rPr>
        <w:t xml:space="preserve"> al GT2 TT-TSP que elaborara un informe de análisis sobre la necesidad y los requisitos de tales acuerdos dentro del PTWS, tomando en consideración los requisitos y capacidades para los eventos de campo cercano y lejano, las modalidades de respaldo existentes, la ampliación de las Zonas de Servicio de los TSP existentes, cuando proceda, y la posibilidad y viabilidad de formar nuevos TSP por otros Estados Miembros, de manera independiente o conjunta.</w:t>
      </w:r>
    </w:p>
    <w:p w14:paraId="29C0C669" w14:textId="79D0EC45" w:rsidR="00154A31" w:rsidRPr="00A363E0" w:rsidRDefault="00154A31" w:rsidP="00FA520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del considerable potencial de los cables SMART para mejorar la vigilancia y predicción de tsunamis, así como de los avances de las iniciativas relativas a los cables SMART en el Pacífico sudoccidental, comprendido el despliegue del cable TAM-TAM, el GIC a través de su GT2, </w:t>
      </w:r>
      <w:r>
        <w:rPr>
          <w:rFonts w:ascii="Arial" w:hAnsi="Arial" w:cs="Arial"/>
          <w:b/>
          <w:bCs/>
          <w:color w:val="000000"/>
          <w:sz w:val="22"/>
          <w:szCs w:val="22"/>
          <w:lang w:val="es"/>
        </w:rPr>
        <w:t>recomendó</w:t>
      </w:r>
      <w:r>
        <w:rPr>
          <w:rFonts w:ascii="Arial" w:hAnsi="Arial" w:cs="Arial"/>
          <w:color w:val="000000"/>
          <w:sz w:val="22"/>
          <w:szCs w:val="22"/>
          <w:lang w:val="es"/>
        </w:rPr>
        <w:t xml:space="preserve"> que los Estados Miembros integraran la funcionalidad SMART en los nuevos proyectos de cables submarinos de telecomunicaciones, dar prioridad al despliegue en zonas de alto riesgo de tsunamis y proporcionar datos de libre acceso con fines de vigilancia y previsión, y </w:t>
      </w:r>
      <w:r>
        <w:rPr>
          <w:rFonts w:ascii="Arial" w:hAnsi="Arial" w:cs="Arial"/>
          <w:b/>
          <w:bCs/>
          <w:color w:val="000000"/>
          <w:sz w:val="22"/>
          <w:szCs w:val="22"/>
          <w:lang w:val="es"/>
        </w:rPr>
        <w:t>alentó</w:t>
      </w:r>
      <w:r>
        <w:rPr>
          <w:rFonts w:ascii="Arial" w:hAnsi="Arial" w:cs="Arial"/>
          <w:color w:val="000000"/>
          <w:sz w:val="22"/>
          <w:szCs w:val="22"/>
          <w:lang w:val="es"/>
        </w:rPr>
        <w:t xml:space="preserve"> su libre acceso con fines de investigación para la Reducción del Riesgo de Desastres, </w:t>
      </w:r>
      <w:r>
        <w:rPr>
          <w:rFonts w:ascii="Arial" w:hAnsi="Arial" w:cs="Arial"/>
          <w:b/>
          <w:bCs/>
          <w:color w:val="000000"/>
          <w:sz w:val="22"/>
          <w:szCs w:val="22"/>
          <w:lang w:val="es"/>
        </w:rPr>
        <w:t>y recomendó además</w:t>
      </w:r>
      <w:r>
        <w:rPr>
          <w:rFonts w:ascii="Arial" w:hAnsi="Arial" w:cs="Arial"/>
          <w:color w:val="000000"/>
          <w:sz w:val="22"/>
          <w:szCs w:val="22"/>
          <w:lang w:val="es"/>
        </w:rPr>
        <w:t xml:space="preserve"> que se unieran a la JTF SMART Cables para elaborar protocolos de acceso a los datos en tiempo real y de integración de los datos de los cables SMART en el PTWS y los Centros Nacionales de Alerta contra los Tsunamis. </w:t>
      </w:r>
    </w:p>
    <w:p w14:paraId="3EE66446" w14:textId="01E8B4F0" w:rsidR="00154A31" w:rsidRPr="00A363E0" w:rsidRDefault="00F40D06" w:rsidP="00F40D06">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Tomando nota</w:t>
      </w:r>
      <w:r>
        <w:rPr>
          <w:rFonts w:ascii="Arial" w:hAnsi="Arial" w:cs="Arial"/>
          <w:color w:val="000000"/>
          <w:sz w:val="22"/>
          <w:szCs w:val="22"/>
          <w:lang w:val="es"/>
        </w:rPr>
        <w:t xml:space="preserve"> del debate sobre la propuesta de modificación del producto de texto del PTWC, incluida la denominación de las costas para las que las previsiones de amplitud de los tsunamis son inferiores a 0,3 m y la adición de una declaración en las afirmaciones clave que aclare que solo son consejos para las costas del PTWS, </w:t>
      </w:r>
      <w:r>
        <w:rPr>
          <w:rFonts w:ascii="Arial" w:hAnsi="Arial" w:cs="Arial"/>
          <w:b/>
          <w:bCs/>
          <w:color w:val="000000"/>
          <w:sz w:val="22"/>
          <w:szCs w:val="22"/>
          <w:lang w:val="es"/>
        </w:rPr>
        <w:t>el GIC pidió</w:t>
      </w:r>
      <w:r>
        <w:rPr>
          <w:rFonts w:ascii="Arial" w:hAnsi="Arial" w:cs="Arial"/>
          <w:color w:val="000000"/>
          <w:sz w:val="22"/>
          <w:szCs w:val="22"/>
          <w:lang w:val="es"/>
        </w:rPr>
        <w:t xml:space="preserve"> que el PTWC suprimiera esa sección en la que se nombran las costas con previsiones de amplitud inferiores a 0,3 m y añadiera una aclaración sobre la aplicación de las afirmaciones clave del producto de texto en el sentido de que solo son consejos para las costas del PTWS.</w:t>
      </w:r>
    </w:p>
    <w:p w14:paraId="388E3E46" w14:textId="48755EFD" w:rsidR="00154A31" w:rsidRPr="00A363E0"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lastRenderedPageBreak/>
        <w:t>Recordando</w:t>
      </w:r>
      <w:r>
        <w:rPr>
          <w:rFonts w:ascii="Arial" w:hAnsi="Arial" w:cs="Arial"/>
          <w:color w:val="000000"/>
          <w:sz w:val="22"/>
          <w:szCs w:val="22"/>
          <w:lang w:val="es"/>
        </w:rPr>
        <w:t xml:space="preserve"> que la Decisión A-32/3.4 de la Asamblea de la COI.1 encargó a todos los proveedores regionales de servicios sobre tsunamis que, en colaboración con los operadores NAVAREA de la OHI, pusieran a prueba los productos de seguridad marítima contra los tsunamis en 2023/24, con miras a implantarlos operativamente en 2024-2025, </w:t>
      </w:r>
      <w:r>
        <w:rPr>
          <w:rFonts w:ascii="Arial" w:hAnsi="Arial" w:cs="Arial"/>
          <w:b/>
          <w:bCs/>
          <w:color w:val="000000"/>
          <w:sz w:val="22"/>
          <w:szCs w:val="22"/>
          <w:lang w:val="es"/>
        </w:rPr>
        <w:t>y considerando</w:t>
      </w:r>
      <w:r>
        <w:rPr>
          <w:rFonts w:ascii="Arial" w:hAnsi="Arial" w:cs="Arial"/>
          <w:color w:val="000000"/>
          <w:sz w:val="22"/>
          <w:szCs w:val="22"/>
          <w:lang w:val="es"/>
        </w:rPr>
        <w:t xml:space="preserve"> que el PTWC, en su calidad de TSP que cubre todas las costas del Sistema de Alerta contra los Tsunamis en el Pacífico, ha aceptado prestar este servicio para el PTWS y ha diseñado dichos productos, realizado una prueba de comunicación con los Coordinadores NAVAREA del Pacífico, y elaborado un proyecto de guía de dichos productos, </w:t>
      </w:r>
      <w:r>
        <w:rPr>
          <w:rFonts w:ascii="Arial" w:hAnsi="Arial" w:cs="Arial"/>
          <w:b/>
          <w:bCs/>
          <w:color w:val="000000"/>
          <w:sz w:val="22"/>
          <w:szCs w:val="22"/>
          <w:lang w:val="es"/>
        </w:rPr>
        <w:t>el GIC solicitó</w:t>
      </w:r>
      <w:r>
        <w:rPr>
          <w:rFonts w:ascii="Arial" w:hAnsi="Arial" w:cs="Arial"/>
          <w:color w:val="000000"/>
          <w:sz w:val="22"/>
          <w:szCs w:val="22"/>
          <w:lang w:val="es"/>
        </w:rPr>
        <w:t xml:space="preserve"> al PTWC que implementara los productos en 2025 tras la próxima reunión del Servicio Mundial de Alerta a la Navegación en septiembre de 2025.</w:t>
      </w:r>
    </w:p>
    <w:p w14:paraId="1E1FA0A7" w14:textId="59C9D9CA" w:rsidR="00154A31" w:rsidRPr="00A363E0"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Recordando</w:t>
      </w:r>
      <w:r>
        <w:rPr>
          <w:rFonts w:ascii="Arial" w:hAnsi="Arial" w:cs="Arial"/>
          <w:color w:val="000000"/>
          <w:sz w:val="22"/>
          <w:szCs w:val="22"/>
          <w:lang w:val="es"/>
        </w:rPr>
        <w:t xml:space="preserve"> la aprobación del Plan de Ejecución de la Coalición Tsunami Ready por el TOWS-WG en su 17</w:t>
      </w:r>
      <w:r>
        <w:rPr>
          <w:rFonts w:ascii="Arial" w:hAnsi="Arial" w:cs="Arial"/>
          <w:color w:val="000000"/>
          <w:sz w:val="22"/>
          <w:szCs w:val="22"/>
          <w:vertAlign w:val="superscript"/>
          <w:lang w:val="es"/>
        </w:rPr>
        <w:t>ª</w:t>
      </w:r>
      <w:r>
        <w:rPr>
          <w:rFonts w:ascii="Arial" w:hAnsi="Arial" w:cs="Arial"/>
          <w:color w:val="000000"/>
          <w:sz w:val="22"/>
          <w:szCs w:val="22"/>
          <w:lang w:val="es"/>
        </w:rPr>
        <w:t xml:space="preserve"> reunión, con el fin de alcanzar y mantener la preparación para los tsunamis a través de la promoción específica, la defensa, la movilización de recursos, la creación de redes, la influencia y el asesoramiento, </w:t>
      </w:r>
      <w:r>
        <w:rPr>
          <w:rFonts w:ascii="Arial" w:hAnsi="Arial" w:cs="Arial"/>
          <w:b/>
          <w:bCs/>
          <w:color w:val="000000"/>
          <w:sz w:val="22"/>
          <w:szCs w:val="22"/>
          <w:lang w:val="es"/>
        </w:rPr>
        <w:t>el GIC pidió</w:t>
      </w:r>
      <w:r>
        <w:rPr>
          <w:rFonts w:ascii="Arial" w:hAnsi="Arial" w:cs="Arial"/>
          <w:color w:val="000000"/>
          <w:sz w:val="22"/>
          <w:szCs w:val="22"/>
          <w:lang w:val="es"/>
        </w:rPr>
        <w:t xml:space="preserve"> al GT3 y a su Equipo de Trabajo sobre Tsunami Ready que apoyaran activamente las actividades de implantación de la Coalición Tsunami Ready.</w:t>
      </w:r>
    </w:p>
    <w:p w14:paraId="72B85DC2" w14:textId="32077809" w:rsidR="00154A31" w:rsidRPr="00A363E0"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s"/>
        </w:rPr>
      </w:pPr>
      <w:r>
        <w:rPr>
          <w:rFonts w:ascii="Arial" w:hAnsi="Arial" w:cs="Arial"/>
          <w:b/>
          <w:bCs/>
          <w:color w:val="000000"/>
          <w:sz w:val="22"/>
          <w:szCs w:val="22"/>
          <w:lang w:val="es"/>
        </w:rPr>
        <w:t>El GIC recomendó</w:t>
      </w:r>
      <w:r>
        <w:rPr>
          <w:rFonts w:ascii="Arial" w:hAnsi="Arial" w:cs="Arial"/>
          <w:color w:val="000000"/>
          <w:sz w:val="22"/>
          <w:szCs w:val="22"/>
          <w:lang w:val="es"/>
        </w:rPr>
        <w:t xml:space="preserve"> la aprobación provisional de las "Orientaciones sobre la equivalencia de la preparación para casos de tsunami", descritas en el </w:t>
      </w:r>
      <w:hyperlink r:id="rId15" w:history="1">
        <w:r>
          <w:rPr>
            <w:rStyle w:val="Hyperlink"/>
            <w:rFonts w:ascii="Arial" w:hAnsi="Arial" w:cs="Arial"/>
            <w:sz w:val="22"/>
            <w:szCs w:val="22"/>
            <w:lang w:val="es"/>
          </w:rPr>
          <w:t>Proyecto de documento</w:t>
        </w:r>
      </w:hyperlink>
      <w:r>
        <w:rPr>
          <w:rFonts w:ascii="Arial" w:hAnsi="Arial" w:cs="Arial"/>
          <w:color w:val="000000"/>
          <w:sz w:val="22"/>
          <w:szCs w:val="22"/>
          <w:lang w:val="es"/>
        </w:rPr>
        <w:t xml:space="preserve"> (punto 4.2 del orden del día) de la reunión ICG/PTWS-XXXI, con fines de prueba, a fin de finalizar las Orientaciones para su aprobación en la reunión ICG/PTWS-XXXII. </w:t>
      </w:r>
      <w:r w:rsidR="00A363E0" w:rsidRPr="00A363E0">
        <w:rPr>
          <w:rFonts w:ascii="Arial" w:hAnsi="Arial" w:cs="Arial"/>
          <w:b/>
          <w:bCs/>
          <w:color w:val="000000"/>
          <w:sz w:val="22"/>
          <w:szCs w:val="22"/>
          <w:lang w:val="es"/>
        </w:rPr>
        <w:t>También recomendó</w:t>
      </w:r>
      <w:r w:rsidR="00A363E0">
        <w:rPr>
          <w:rFonts w:ascii="Arial" w:hAnsi="Arial" w:cs="Arial"/>
          <w:b/>
          <w:bCs/>
          <w:color w:val="000000"/>
          <w:sz w:val="22"/>
          <w:szCs w:val="22"/>
          <w:lang w:val="es"/>
        </w:rPr>
        <w:t xml:space="preserve"> </w:t>
      </w:r>
      <w:r>
        <w:rPr>
          <w:rFonts w:ascii="Arial" w:hAnsi="Arial" w:cs="Arial"/>
          <w:color w:val="000000"/>
          <w:sz w:val="22"/>
          <w:szCs w:val="22"/>
          <w:lang w:val="es"/>
        </w:rPr>
        <w:t xml:space="preserve">que el Equipo de Trabajo ICG/PTWS GT3 sobre Tsunami Ready llevara a cabo una prueba piloto de la "Guía de Equivalencia de Tsunami Ready" del PTWS.  </w:t>
      </w:r>
    </w:p>
    <w:p w14:paraId="70078377" w14:textId="297071AA" w:rsidR="00154A31" w:rsidRPr="00A363E0"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es"/>
        </w:rPr>
        <w:t>Recordando</w:t>
      </w:r>
      <w:r>
        <w:rPr>
          <w:rFonts w:ascii="Arial" w:hAnsi="Arial" w:cs="Arial"/>
          <w:color w:val="000000"/>
          <w:sz w:val="22"/>
          <w:szCs w:val="22"/>
          <w:lang w:val="es"/>
        </w:rPr>
        <w:t xml:space="preserve"> la importancia del Programa de reconocimiento Tsunami Ready de la UNESCO-COI como mecanismo clave para alcanzar el objetivo del Decenio del Océano de las Naciones Unidas de que "el 100 % de las comunidades expuestas a los tsunamis estén preparadas para los tsunamis y sean resistentes a ellos de aquí a 2030", </w:t>
      </w:r>
      <w:r>
        <w:rPr>
          <w:rFonts w:ascii="Arial" w:hAnsi="Arial" w:cs="Arial"/>
          <w:b/>
          <w:bCs/>
          <w:color w:val="000000"/>
          <w:sz w:val="22"/>
          <w:szCs w:val="22"/>
          <w:lang w:val="es"/>
        </w:rPr>
        <w:t>el GIC</w:t>
      </w:r>
      <w:r>
        <w:rPr>
          <w:rFonts w:ascii="Arial" w:hAnsi="Arial" w:cs="Arial"/>
          <w:color w:val="000000"/>
          <w:sz w:val="22"/>
          <w:szCs w:val="22"/>
          <w:lang w:val="es"/>
        </w:rPr>
        <w:t xml:space="preserve"> </w:t>
      </w:r>
      <w:r>
        <w:rPr>
          <w:rFonts w:ascii="Arial" w:hAnsi="Arial" w:cs="Arial"/>
          <w:b/>
          <w:bCs/>
          <w:color w:val="000000"/>
          <w:sz w:val="22"/>
          <w:szCs w:val="22"/>
          <w:lang w:val="es"/>
        </w:rPr>
        <w:t>pidió</w:t>
      </w:r>
      <w:r>
        <w:rPr>
          <w:rFonts w:ascii="Arial" w:hAnsi="Arial" w:cs="Arial"/>
          <w:color w:val="000000"/>
          <w:sz w:val="22"/>
          <w:szCs w:val="22"/>
          <w:lang w:val="es"/>
        </w:rPr>
        <w:t xml:space="preserve"> al Equipo de Trabajo del GT3 Tsunami Ready que siguiera investigando nuevas medidas para reconocer, apoyar y celebrar los beneficios del reconocimiento oficial Tsunami Ready de la UNESCO-COI,</w:t>
      </w:r>
    </w:p>
    <w:p w14:paraId="285A13C3" w14:textId="4B922D12" w:rsidR="003B6D4C" w:rsidRPr="00BD5840" w:rsidRDefault="008165A7" w:rsidP="00C92D5F">
      <w:pPr>
        <w:numPr>
          <w:ilvl w:val="0"/>
          <w:numId w:val="54"/>
        </w:numPr>
        <w:tabs>
          <w:tab w:val="left" w:pos="709"/>
        </w:tabs>
        <w:autoSpaceDE w:val="0"/>
        <w:autoSpaceDN w:val="0"/>
        <w:adjustRightInd w:val="0"/>
        <w:spacing w:before="120" w:after="240" w:line="240" w:lineRule="atLeast"/>
        <w:ind w:left="0" w:firstLine="0"/>
        <w:jc w:val="both"/>
        <w:rPr>
          <w:rFonts w:ascii="Arial" w:eastAsia="Arial" w:hAnsi="Arial" w:cs="Arial"/>
          <w:bCs/>
          <w:sz w:val="22"/>
          <w:szCs w:val="22"/>
        </w:rPr>
      </w:pPr>
      <w:r>
        <w:rPr>
          <w:rFonts w:ascii="Arial" w:eastAsia="Arial" w:hAnsi="Arial" w:cs="Arial"/>
          <w:b/>
          <w:bCs/>
          <w:sz w:val="22"/>
          <w:szCs w:val="22"/>
          <w:lang w:val="es"/>
        </w:rPr>
        <w:t xml:space="preserve">El GIC </w:t>
      </w:r>
      <w:r>
        <w:rPr>
          <w:rFonts w:ascii="Arial" w:eastAsia="Arial" w:hAnsi="Arial" w:cs="Arial"/>
          <w:sz w:val="22"/>
          <w:szCs w:val="22"/>
          <w:lang w:val="es"/>
        </w:rPr>
        <w:t>eligió Presidente al Dr. Dakui Wang (China), Vicepresidentes del ICG/PTWS a Lara Bland (Nueva Zelanda), Mylene Villegas (Filipinas) y Levu Antfalo (Vanuatu).</w:t>
      </w:r>
    </w:p>
    <w:sectPr w:rsidR="003B6D4C" w:rsidRPr="00BD5840" w:rsidSect="00B96458">
      <w:headerReference w:type="even" r:id="rId16"/>
      <w:headerReference w:type="default" r:id="rId17"/>
      <w:headerReference w:type="first" r:id="rId18"/>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E719" w14:textId="77777777" w:rsidR="0085024F" w:rsidRDefault="0085024F">
      <w:r>
        <w:separator/>
      </w:r>
    </w:p>
  </w:endnote>
  <w:endnote w:type="continuationSeparator" w:id="0">
    <w:p w14:paraId="4131120C" w14:textId="77777777" w:rsidR="0085024F" w:rsidRDefault="008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A080" w14:textId="77777777" w:rsidR="0085024F" w:rsidRDefault="0085024F">
      <w:r>
        <w:separator/>
      </w:r>
    </w:p>
  </w:footnote>
  <w:footnote w:type="continuationSeparator" w:id="0">
    <w:p w14:paraId="17A01BF7" w14:textId="77777777" w:rsidR="0085024F" w:rsidRDefault="008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3CED6592" w:rsidR="0023152A" w:rsidRPr="00A363E0" w:rsidRDefault="00D924ED" w:rsidP="0002560F">
    <w:pPr>
      <w:pStyle w:val="Header"/>
      <w:rPr>
        <w:sz w:val="20"/>
        <w:lang w:val="en-US"/>
      </w:rPr>
    </w:pPr>
    <w:r>
      <w:rPr>
        <w:sz w:val="20"/>
        <w:lang w:val="es"/>
      </w:rPr>
      <w:t xml:space="preserve">IOC/ICG/PTWS-XXXI/3s - página </w:t>
    </w:r>
    <w:r>
      <w:rPr>
        <w:sz w:val="20"/>
        <w:lang w:val="es"/>
      </w:rPr>
      <w:fldChar w:fldCharType="begin"/>
    </w:r>
    <w:r>
      <w:rPr>
        <w:sz w:val="20"/>
        <w:lang w:val="es"/>
      </w:rPr>
      <w:instrText>PAGE   \* MERGEFORMAT</w:instrText>
    </w:r>
    <w:r>
      <w:rPr>
        <w:sz w:val="20"/>
        <w:lang w:val="es"/>
      </w:rPr>
      <w:fldChar w:fldCharType="separate"/>
    </w:r>
    <w:r>
      <w:rPr>
        <w:noProof/>
        <w:sz w:val="20"/>
        <w:lang w:val="es"/>
      </w:rPr>
      <w:t>16</w:t>
    </w:r>
    <w:r>
      <w:rPr>
        <w:sz w:val="20"/>
        <w:lang w:val="es"/>
      </w:rPr>
      <w:fldChar w:fldCharType="end"/>
    </w:r>
  </w:p>
  <w:p w14:paraId="20DC9944" w14:textId="77777777" w:rsidR="0023152A" w:rsidRPr="00A363E0" w:rsidRDefault="0023152A" w:rsidP="007A121B">
    <w:pPr>
      <w:pStyle w:val="Header"/>
      <w:rPr>
        <w:lang w:val="en-US"/>
      </w:rPr>
    </w:pPr>
  </w:p>
  <w:p w14:paraId="49F08F95" w14:textId="77777777" w:rsidR="0002560F" w:rsidRPr="00A363E0" w:rsidRDefault="0002560F" w:rsidP="007A121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7A5E7876" w:rsidR="0002560F" w:rsidRPr="00A363E0" w:rsidRDefault="00D924ED" w:rsidP="003B6D4C">
    <w:pPr>
      <w:pStyle w:val="Header"/>
      <w:ind w:left="6379"/>
      <w:rPr>
        <w:sz w:val="20"/>
        <w:lang w:val="en-US"/>
      </w:rPr>
    </w:pPr>
    <w:r>
      <w:rPr>
        <w:sz w:val="20"/>
        <w:lang w:val="es"/>
      </w:rPr>
      <w:t xml:space="preserve">IOC/ICG/PTWS-XXX/3s - página </w:t>
    </w:r>
    <w:r>
      <w:rPr>
        <w:sz w:val="20"/>
        <w:lang w:val="es"/>
      </w:rPr>
      <w:fldChar w:fldCharType="begin"/>
    </w:r>
    <w:r>
      <w:rPr>
        <w:sz w:val="20"/>
        <w:lang w:val="es"/>
      </w:rPr>
      <w:instrText>PAGE   \* MERGEFORMAT</w:instrText>
    </w:r>
    <w:r>
      <w:rPr>
        <w:sz w:val="20"/>
        <w:lang w:val="es"/>
      </w:rPr>
      <w:fldChar w:fldCharType="separate"/>
    </w:r>
    <w:r>
      <w:rPr>
        <w:sz w:val="20"/>
        <w:lang w:val="es"/>
      </w:rPr>
      <w:t>2</w:t>
    </w:r>
    <w:r>
      <w:rPr>
        <w:sz w:val="20"/>
        <w:lang w:val="es"/>
      </w:rPr>
      <w:fldChar w:fldCharType="end"/>
    </w:r>
  </w:p>
  <w:p w14:paraId="09973621" w14:textId="77777777" w:rsidR="0002560F" w:rsidRPr="00A363E0" w:rsidRDefault="0002560F" w:rsidP="00B96458">
    <w:pPr>
      <w:pStyle w:val="Header"/>
      <w:ind w:left="6663"/>
      <w:rPr>
        <w:lang w:val="en-US"/>
      </w:rPr>
    </w:pPr>
  </w:p>
  <w:p w14:paraId="24E6ABEC" w14:textId="77777777" w:rsidR="00ED4416" w:rsidRPr="00A363E0" w:rsidRDefault="00ED4416" w:rsidP="00B96458">
    <w:pPr>
      <w:pStyle w:val="Header"/>
      <w:ind w:left="6663"/>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2B12DA31" w:rsidR="0002560F" w:rsidRPr="00A363E0" w:rsidRDefault="00292939" w:rsidP="00F65914">
    <w:pPr>
      <w:ind w:left="6946"/>
      <w:rPr>
        <w:rFonts w:ascii="Arial" w:eastAsia="Arial" w:hAnsi="Arial" w:cs="Arial"/>
        <w:b/>
        <w:bCs/>
        <w:lang w:val="fr-FR"/>
      </w:rPr>
    </w:pPr>
    <w:r>
      <w:rPr>
        <w:noProof/>
        <w:lang w:val="es"/>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lang w:val="es"/>
      </w:rPr>
      <w:t>IOC/ICG/PTWS-XXXI/3s</w:t>
    </w:r>
  </w:p>
  <w:p w14:paraId="47AEA249" w14:textId="41D7E4C7" w:rsidR="0002560F" w:rsidRPr="00A363E0" w:rsidRDefault="000A5379" w:rsidP="00F65914">
    <w:pPr>
      <w:tabs>
        <w:tab w:val="left" w:pos="613"/>
      </w:tabs>
      <w:ind w:left="6946" w:right="96"/>
      <w:rPr>
        <w:rFonts w:ascii="Arial" w:eastAsia="Arial" w:hAnsi="Arial" w:cs="Arial"/>
        <w:lang w:val="fr-FR"/>
      </w:rPr>
    </w:pPr>
    <w:r>
      <w:rPr>
        <w:rFonts w:ascii="Arial" w:eastAsia="Arial" w:hAnsi="Arial" w:cs="Arial"/>
        <w:lang w:val="es"/>
      </w:rPr>
      <w:t>30 de mayo de 2025</w:t>
    </w:r>
  </w:p>
  <w:p w14:paraId="11949D9E" w14:textId="77777777" w:rsidR="0002560F" w:rsidRPr="006D7111" w:rsidRDefault="0002560F" w:rsidP="00F65914">
    <w:pPr>
      <w:ind w:left="6946" w:right="426"/>
      <w:rPr>
        <w:rFonts w:ascii="Arial" w:eastAsia="Arial" w:hAnsi="Arial" w:cs="Arial"/>
      </w:rPr>
    </w:pPr>
    <w:r>
      <w:rPr>
        <w:rFonts w:ascii="Arial" w:eastAsia="Arial" w:hAnsi="Arial" w:cs="Arial"/>
        <w:lang w:val="es"/>
      </w:rPr>
      <w:t>Original: Inglés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3"/>
  </w:num>
  <w:num w:numId="2" w16cid:durableId="62288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6"/>
  </w:num>
  <w:num w:numId="5" w16cid:durableId="510993253">
    <w:abstractNumId w:val="3"/>
  </w:num>
  <w:num w:numId="6" w16cid:durableId="365639584">
    <w:abstractNumId w:val="39"/>
  </w:num>
  <w:num w:numId="7" w16cid:durableId="117728407">
    <w:abstractNumId w:val="34"/>
  </w:num>
  <w:num w:numId="8" w16cid:durableId="1903178117">
    <w:abstractNumId w:val="54"/>
  </w:num>
  <w:num w:numId="9" w16cid:durableId="1136097858">
    <w:abstractNumId w:val="1"/>
  </w:num>
  <w:num w:numId="10" w16cid:durableId="352003939">
    <w:abstractNumId w:val="46"/>
  </w:num>
  <w:num w:numId="11" w16cid:durableId="90974658">
    <w:abstractNumId w:val="31"/>
  </w:num>
  <w:num w:numId="12" w16cid:durableId="1144272946">
    <w:abstractNumId w:val="58"/>
  </w:num>
  <w:num w:numId="13" w16cid:durableId="1549564916">
    <w:abstractNumId w:val="7"/>
  </w:num>
  <w:num w:numId="14" w16cid:durableId="2134975823">
    <w:abstractNumId w:val="32"/>
  </w:num>
  <w:num w:numId="15" w16cid:durableId="122117539">
    <w:abstractNumId w:val="2"/>
  </w:num>
  <w:num w:numId="16" w16cid:durableId="211625804">
    <w:abstractNumId w:val="16"/>
  </w:num>
  <w:num w:numId="17" w16cid:durableId="1831753930">
    <w:abstractNumId w:val="57"/>
  </w:num>
  <w:num w:numId="18" w16cid:durableId="2092500793">
    <w:abstractNumId w:val="24"/>
  </w:num>
  <w:num w:numId="19" w16cid:durableId="1780292577">
    <w:abstractNumId w:val="15"/>
  </w:num>
  <w:num w:numId="20" w16cid:durableId="1701277617">
    <w:abstractNumId w:val="47"/>
  </w:num>
  <w:num w:numId="21" w16cid:durableId="401417986">
    <w:abstractNumId w:val="17"/>
  </w:num>
  <w:num w:numId="22" w16cid:durableId="295179712">
    <w:abstractNumId w:val="22"/>
  </w:num>
  <w:num w:numId="23" w16cid:durableId="1444768028">
    <w:abstractNumId w:val="45"/>
  </w:num>
  <w:num w:numId="24" w16cid:durableId="1171750523">
    <w:abstractNumId w:val="43"/>
  </w:num>
  <w:num w:numId="25" w16cid:durableId="687754402">
    <w:abstractNumId w:val="21"/>
  </w:num>
  <w:num w:numId="26" w16cid:durableId="579217557">
    <w:abstractNumId w:val="41"/>
  </w:num>
  <w:num w:numId="27" w16cid:durableId="912550817">
    <w:abstractNumId w:val="37"/>
  </w:num>
  <w:num w:numId="28" w16cid:durableId="510722518">
    <w:abstractNumId w:val="8"/>
  </w:num>
  <w:num w:numId="29" w16cid:durableId="1654332132">
    <w:abstractNumId w:val="49"/>
  </w:num>
  <w:num w:numId="30" w16cid:durableId="130369403">
    <w:abstractNumId w:val="27"/>
  </w:num>
  <w:num w:numId="31" w16cid:durableId="107625588">
    <w:abstractNumId w:val="11"/>
  </w:num>
  <w:num w:numId="32" w16cid:durableId="847329120">
    <w:abstractNumId w:val="35"/>
  </w:num>
  <w:num w:numId="33" w16cid:durableId="762266789">
    <w:abstractNumId w:val="25"/>
  </w:num>
  <w:num w:numId="34" w16cid:durableId="847139753">
    <w:abstractNumId w:val="55"/>
  </w:num>
  <w:num w:numId="35" w16cid:durableId="1998994707">
    <w:abstractNumId w:val="40"/>
  </w:num>
  <w:num w:numId="36" w16cid:durableId="1406147688">
    <w:abstractNumId w:val="56"/>
  </w:num>
  <w:num w:numId="37" w16cid:durableId="436146323">
    <w:abstractNumId w:val="10"/>
  </w:num>
  <w:num w:numId="38" w16cid:durableId="1293440789">
    <w:abstractNumId w:val="44"/>
  </w:num>
  <w:num w:numId="39" w16cid:durableId="614286400">
    <w:abstractNumId w:val="42"/>
  </w:num>
  <w:num w:numId="40" w16cid:durableId="1836995121">
    <w:abstractNumId w:val="4"/>
  </w:num>
  <w:num w:numId="41" w16cid:durableId="1490945724">
    <w:abstractNumId w:val="0"/>
  </w:num>
  <w:num w:numId="42" w16cid:durableId="409162809">
    <w:abstractNumId w:val="28"/>
  </w:num>
  <w:num w:numId="43" w16cid:durableId="309945683">
    <w:abstractNumId w:val="19"/>
  </w:num>
  <w:num w:numId="44" w16cid:durableId="2082362975">
    <w:abstractNumId w:val="9"/>
  </w:num>
  <w:num w:numId="45" w16cid:durableId="300155050">
    <w:abstractNumId w:val="38"/>
  </w:num>
  <w:num w:numId="46" w16cid:durableId="485631274">
    <w:abstractNumId w:val="48"/>
  </w:num>
  <w:num w:numId="47" w16cid:durableId="830368633">
    <w:abstractNumId w:val="50"/>
  </w:num>
  <w:num w:numId="48" w16cid:durableId="1789814091">
    <w:abstractNumId w:val="20"/>
  </w:num>
  <w:num w:numId="49" w16cid:durableId="1960649158">
    <w:abstractNumId w:val="13"/>
  </w:num>
  <w:num w:numId="50" w16cid:durableId="1575628703">
    <w:abstractNumId w:val="53"/>
  </w:num>
  <w:num w:numId="51" w16cid:durableId="402024645">
    <w:abstractNumId w:val="51"/>
  </w:num>
  <w:num w:numId="52" w16cid:durableId="53049016">
    <w:abstractNumId w:val="18"/>
  </w:num>
  <w:num w:numId="53" w16cid:durableId="680544367">
    <w:abstractNumId w:val="52"/>
  </w:num>
  <w:num w:numId="54" w16cid:durableId="42291076">
    <w:abstractNumId w:val="29"/>
  </w:num>
  <w:num w:numId="55" w16cid:durableId="740370262">
    <w:abstractNumId w:val="36"/>
  </w:num>
  <w:num w:numId="56" w16cid:durableId="1969697670">
    <w:abstractNumId w:val="23"/>
  </w:num>
  <w:num w:numId="57" w16cid:durableId="461850505">
    <w:abstractNumId w:val="5"/>
  </w:num>
  <w:num w:numId="58" w16cid:durableId="1380321173">
    <w:abstractNumId w:val="12"/>
  </w:num>
  <w:num w:numId="59" w16cid:durableId="163043566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5586"/>
    <w:rsid w:val="00016195"/>
    <w:rsid w:val="0002013A"/>
    <w:rsid w:val="00021DD8"/>
    <w:rsid w:val="000222C5"/>
    <w:rsid w:val="0002560F"/>
    <w:rsid w:val="000345BF"/>
    <w:rsid w:val="0003637E"/>
    <w:rsid w:val="00040660"/>
    <w:rsid w:val="000415AB"/>
    <w:rsid w:val="000455A8"/>
    <w:rsid w:val="00046F60"/>
    <w:rsid w:val="0005367E"/>
    <w:rsid w:val="0006143E"/>
    <w:rsid w:val="00062B7B"/>
    <w:rsid w:val="000662ED"/>
    <w:rsid w:val="00067EF8"/>
    <w:rsid w:val="00071D44"/>
    <w:rsid w:val="000769BE"/>
    <w:rsid w:val="00081C99"/>
    <w:rsid w:val="00084FB7"/>
    <w:rsid w:val="00087416"/>
    <w:rsid w:val="00091AD2"/>
    <w:rsid w:val="000928F9"/>
    <w:rsid w:val="000964B2"/>
    <w:rsid w:val="00097219"/>
    <w:rsid w:val="000A095C"/>
    <w:rsid w:val="000A5379"/>
    <w:rsid w:val="000A58AE"/>
    <w:rsid w:val="000B6EC4"/>
    <w:rsid w:val="000C0B00"/>
    <w:rsid w:val="000C394B"/>
    <w:rsid w:val="000C77BE"/>
    <w:rsid w:val="000D1159"/>
    <w:rsid w:val="000D3316"/>
    <w:rsid w:val="000D5816"/>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3440"/>
    <w:rsid w:val="00131950"/>
    <w:rsid w:val="001322DE"/>
    <w:rsid w:val="0014434D"/>
    <w:rsid w:val="001474EE"/>
    <w:rsid w:val="00151636"/>
    <w:rsid w:val="00152ECA"/>
    <w:rsid w:val="00153F37"/>
    <w:rsid w:val="00154A31"/>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C768E"/>
    <w:rsid w:val="001C7DE3"/>
    <w:rsid w:val="001D19EF"/>
    <w:rsid w:val="001D3C3F"/>
    <w:rsid w:val="001D4AAB"/>
    <w:rsid w:val="001E2484"/>
    <w:rsid w:val="001E4830"/>
    <w:rsid w:val="001F501B"/>
    <w:rsid w:val="00203CF2"/>
    <w:rsid w:val="00206629"/>
    <w:rsid w:val="00210904"/>
    <w:rsid w:val="00214108"/>
    <w:rsid w:val="00216C2A"/>
    <w:rsid w:val="00223225"/>
    <w:rsid w:val="002244DB"/>
    <w:rsid w:val="00227240"/>
    <w:rsid w:val="00230469"/>
    <w:rsid w:val="0023152A"/>
    <w:rsid w:val="00232D7A"/>
    <w:rsid w:val="00233C55"/>
    <w:rsid w:val="002346CE"/>
    <w:rsid w:val="00243DCA"/>
    <w:rsid w:val="00244EBD"/>
    <w:rsid w:val="002501B1"/>
    <w:rsid w:val="00250383"/>
    <w:rsid w:val="00252C9D"/>
    <w:rsid w:val="00254BA9"/>
    <w:rsid w:val="00256CB1"/>
    <w:rsid w:val="00260F52"/>
    <w:rsid w:val="00264DD3"/>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C1C"/>
    <w:rsid w:val="002D1E01"/>
    <w:rsid w:val="002D32E2"/>
    <w:rsid w:val="002E0C6C"/>
    <w:rsid w:val="002E2128"/>
    <w:rsid w:val="002E3B4A"/>
    <w:rsid w:val="002E60A1"/>
    <w:rsid w:val="002E74C2"/>
    <w:rsid w:val="002F154A"/>
    <w:rsid w:val="002F1821"/>
    <w:rsid w:val="002F4A9F"/>
    <w:rsid w:val="00313177"/>
    <w:rsid w:val="00313C0D"/>
    <w:rsid w:val="0031493E"/>
    <w:rsid w:val="0031587A"/>
    <w:rsid w:val="003224D8"/>
    <w:rsid w:val="003248B5"/>
    <w:rsid w:val="0032738A"/>
    <w:rsid w:val="0032782B"/>
    <w:rsid w:val="00330C5B"/>
    <w:rsid w:val="00332D6A"/>
    <w:rsid w:val="00334B80"/>
    <w:rsid w:val="00336E32"/>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3E47"/>
    <w:rsid w:val="003667F8"/>
    <w:rsid w:val="00372CED"/>
    <w:rsid w:val="00375F45"/>
    <w:rsid w:val="0037750B"/>
    <w:rsid w:val="0038382E"/>
    <w:rsid w:val="00383CFC"/>
    <w:rsid w:val="0039106E"/>
    <w:rsid w:val="00391F90"/>
    <w:rsid w:val="00392BD5"/>
    <w:rsid w:val="00397BC3"/>
    <w:rsid w:val="003B0792"/>
    <w:rsid w:val="003B07A4"/>
    <w:rsid w:val="003B6D4C"/>
    <w:rsid w:val="003B7C02"/>
    <w:rsid w:val="003C3EA4"/>
    <w:rsid w:val="003C665B"/>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B75"/>
    <w:rsid w:val="004155D4"/>
    <w:rsid w:val="004179D1"/>
    <w:rsid w:val="00420D08"/>
    <w:rsid w:val="00426AC3"/>
    <w:rsid w:val="00430319"/>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10CC"/>
    <w:rsid w:val="004E30F7"/>
    <w:rsid w:val="004E4907"/>
    <w:rsid w:val="004E6AED"/>
    <w:rsid w:val="004E6C7B"/>
    <w:rsid w:val="004F3918"/>
    <w:rsid w:val="004F57BF"/>
    <w:rsid w:val="004F6404"/>
    <w:rsid w:val="004F717A"/>
    <w:rsid w:val="005003A3"/>
    <w:rsid w:val="00500675"/>
    <w:rsid w:val="00501540"/>
    <w:rsid w:val="00502140"/>
    <w:rsid w:val="00502204"/>
    <w:rsid w:val="005027F0"/>
    <w:rsid w:val="00504212"/>
    <w:rsid w:val="005108ED"/>
    <w:rsid w:val="00512CE2"/>
    <w:rsid w:val="00513812"/>
    <w:rsid w:val="00513920"/>
    <w:rsid w:val="005170CF"/>
    <w:rsid w:val="00517DCE"/>
    <w:rsid w:val="00521DD9"/>
    <w:rsid w:val="005234CB"/>
    <w:rsid w:val="00531D0A"/>
    <w:rsid w:val="005328C7"/>
    <w:rsid w:val="00534168"/>
    <w:rsid w:val="005366C4"/>
    <w:rsid w:val="00540BA5"/>
    <w:rsid w:val="00544E7F"/>
    <w:rsid w:val="00552A5F"/>
    <w:rsid w:val="00555060"/>
    <w:rsid w:val="00557F6B"/>
    <w:rsid w:val="005657CD"/>
    <w:rsid w:val="00573759"/>
    <w:rsid w:val="00574792"/>
    <w:rsid w:val="0057608F"/>
    <w:rsid w:val="005826D6"/>
    <w:rsid w:val="00584F71"/>
    <w:rsid w:val="0058616B"/>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5245"/>
    <w:rsid w:val="005C7187"/>
    <w:rsid w:val="005D2CEB"/>
    <w:rsid w:val="005D3F66"/>
    <w:rsid w:val="005D4281"/>
    <w:rsid w:val="005E17FB"/>
    <w:rsid w:val="005E2251"/>
    <w:rsid w:val="005E502D"/>
    <w:rsid w:val="005F66B2"/>
    <w:rsid w:val="00601E89"/>
    <w:rsid w:val="0060629F"/>
    <w:rsid w:val="00610465"/>
    <w:rsid w:val="00611CCF"/>
    <w:rsid w:val="0061341B"/>
    <w:rsid w:val="00613CA3"/>
    <w:rsid w:val="0061626A"/>
    <w:rsid w:val="006162A8"/>
    <w:rsid w:val="00620C97"/>
    <w:rsid w:val="006223BC"/>
    <w:rsid w:val="00622F24"/>
    <w:rsid w:val="00624056"/>
    <w:rsid w:val="00624592"/>
    <w:rsid w:val="00630731"/>
    <w:rsid w:val="00633693"/>
    <w:rsid w:val="006428A4"/>
    <w:rsid w:val="00642C2D"/>
    <w:rsid w:val="00644FB8"/>
    <w:rsid w:val="0064557C"/>
    <w:rsid w:val="00655444"/>
    <w:rsid w:val="00667EEC"/>
    <w:rsid w:val="006700B1"/>
    <w:rsid w:val="00672545"/>
    <w:rsid w:val="00674F31"/>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D7111"/>
    <w:rsid w:val="006E3204"/>
    <w:rsid w:val="006E4934"/>
    <w:rsid w:val="006F2184"/>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3398"/>
    <w:rsid w:val="007614AF"/>
    <w:rsid w:val="0076555A"/>
    <w:rsid w:val="00766995"/>
    <w:rsid w:val="007706E0"/>
    <w:rsid w:val="00771BB0"/>
    <w:rsid w:val="00775376"/>
    <w:rsid w:val="007757FF"/>
    <w:rsid w:val="00780A7E"/>
    <w:rsid w:val="0078168E"/>
    <w:rsid w:val="0078470A"/>
    <w:rsid w:val="007869DA"/>
    <w:rsid w:val="00787067"/>
    <w:rsid w:val="00790D2A"/>
    <w:rsid w:val="0079106A"/>
    <w:rsid w:val="00791B4E"/>
    <w:rsid w:val="0079589F"/>
    <w:rsid w:val="00797688"/>
    <w:rsid w:val="007A121B"/>
    <w:rsid w:val="007A31A5"/>
    <w:rsid w:val="007A4F17"/>
    <w:rsid w:val="007A563B"/>
    <w:rsid w:val="007A6EE1"/>
    <w:rsid w:val="007A7CD2"/>
    <w:rsid w:val="007B0703"/>
    <w:rsid w:val="007B096B"/>
    <w:rsid w:val="007B1CB3"/>
    <w:rsid w:val="007B7B8C"/>
    <w:rsid w:val="007C1F69"/>
    <w:rsid w:val="007C6513"/>
    <w:rsid w:val="007C6B88"/>
    <w:rsid w:val="007E1425"/>
    <w:rsid w:val="007E1608"/>
    <w:rsid w:val="007E3326"/>
    <w:rsid w:val="007F16DC"/>
    <w:rsid w:val="007F3093"/>
    <w:rsid w:val="007F3C5B"/>
    <w:rsid w:val="007F421D"/>
    <w:rsid w:val="007F5B10"/>
    <w:rsid w:val="007F70C2"/>
    <w:rsid w:val="007F766F"/>
    <w:rsid w:val="00800CAE"/>
    <w:rsid w:val="00803403"/>
    <w:rsid w:val="0080426C"/>
    <w:rsid w:val="00807F42"/>
    <w:rsid w:val="00810D2B"/>
    <w:rsid w:val="008112A5"/>
    <w:rsid w:val="008165A7"/>
    <w:rsid w:val="00825326"/>
    <w:rsid w:val="008271DC"/>
    <w:rsid w:val="00827F94"/>
    <w:rsid w:val="00830877"/>
    <w:rsid w:val="00831742"/>
    <w:rsid w:val="008447C2"/>
    <w:rsid w:val="00845B89"/>
    <w:rsid w:val="00845D67"/>
    <w:rsid w:val="00845EF2"/>
    <w:rsid w:val="0085024F"/>
    <w:rsid w:val="008608DA"/>
    <w:rsid w:val="00862177"/>
    <w:rsid w:val="00863201"/>
    <w:rsid w:val="0086480C"/>
    <w:rsid w:val="00864D3F"/>
    <w:rsid w:val="00865E10"/>
    <w:rsid w:val="00873441"/>
    <w:rsid w:val="00873F2D"/>
    <w:rsid w:val="00875477"/>
    <w:rsid w:val="00876D39"/>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344E"/>
    <w:rsid w:val="008C4986"/>
    <w:rsid w:val="008C68D5"/>
    <w:rsid w:val="008D1AC4"/>
    <w:rsid w:val="008D23A7"/>
    <w:rsid w:val="008D2EF6"/>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34A5"/>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215A"/>
    <w:rsid w:val="0099773E"/>
    <w:rsid w:val="009A16EB"/>
    <w:rsid w:val="009A2421"/>
    <w:rsid w:val="009A5EF3"/>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3E0"/>
    <w:rsid w:val="00A36557"/>
    <w:rsid w:val="00A4296D"/>
    <w:rsid w:val="00A43C28"/>
    <w:rsid w:val="00A452B6"/>
    <w:rsid w:val="00A55DEF"/>
    <w:rsid w:val="00A64465"/>
    <w:rsid w:val="00A64686"/>
    <w:rsid w:val="00A650E7"/>
    <w:rsid w:val="00A658EE"/>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36DA"/>
    <w:rsid w:val="00AB5D77"/>
    <w:rsid w:val="00AC23D0"/>
    <w:rsid w:val="00AC26F5"/>
    <w:rsid w:val="00AC6044"/>
    <w:rsid w:val="00AC62E5"/>
    <w:rsid w:val="00AC774E"/>
    <w:rsid w:val="00AC78DC"/>
    <w:rsid w:val="00AD3217"/>
    <w:rsid w:val="00AD32DA"/>
    <w:rsid w:val="00AD514D"/>
    <w:rsid w:val="00AD5EF1"/>
    <w:rsid w:val="00AD69EB"/>
    <w:rsid w:val="00AD7B70"/>
    <w:rsid w:val="00AE4CA8"/>
    <w:rsid w:val="00AE59C0"/>
    <w:rsid w:val="00AE5E89"/>
    <w:rsid w:val="00AF1361"/>
    <w:rsid w:val="00AF630E"/>
    <w:rsid w:val="00AF6A01"/>
    <w:rsid w:val="00B01FD3"/>
    <w:rsid w:val="00B02C9F"/>
    <w:rsid w:val="00B03C9D"/>
    <w:rsid w:val="00B04E29"/>
    <w:rsid w:val="00B06E1C"/>
    <w:rsid w:val="00B21D10"/>
    <w:rsid w:val="00B24E37"/>
    <w:rsid w:val="00B278E7"/>
    <w:rsid w:val="00B30BA8"/>
    <w:rsid w:val="00B35B9C"/>
    <w:rsid w:val="00B37B66"/>
    <w:rsid w:val="00B4120C"/>
    <w:rsid w:val="00B440F6"/>
    <w:rsid w:val="00B4553A"/>
    <w:rsid w:val="00B4665F"/>
    <w:rsid w:val="00B531EE"/>
    <w:rsid w:val="00B53212"/>
    <w:rsid w:val="00B53726"/>
    <w:rsid w:val="00B538E5"/>
    <w:rsid w:val="00B70741"/>
    <w:rsid w:val="00B753AD"/>
    <w:rsid w:val="00B77D81"/>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5840"/>
    <w:rsid w:val="00BD77DB"/>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2C1E"/>
    <w:rsid w:val="00C252E8"/>
    <w:rsid w:val="00C26E6F"/>
    <w:rsid w:val="00C30A50"/>
    <w:rsid w:val="00C368BE"/>
    <w:rsid w:val="00C37AA2"/>
    <w:rsid w:val="00C44A4A"/>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5ADA"/>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1ADF"/>
    <w:rsid w:val="00D727B3"/>
    <w:rsid w:val="00D7677F"/>
    <w:rsid w:val="00D812F3"/>
    <w:rsid w:val="00D814EB"/>
    <w:rsid w:val="00D81C49"/>
    <w:rsid w:val="00D83CFB"/>
    <w:rsid w:val="00D8762F"/>
    <w:rsid w:val="00D92195"/>
    <w:rsid w:val="00D924ED"/>
    <w:rsid w:val="00D924F7"/>
    <w:rsid w:val="00D92505"/>
    <w:rsid w:val="00D92BC4"/>
    <w:rsid w:val="00D93951"/>
    <w:rsid w:val="00D93E88"/>
    <w:rsid w:val="00D94B20"/>
    <w:rsid w:val="00DB2841"/>
    <w:rsid w:val="00DB31C9"/>
    <w:rsid w:val="00DB33DB"/>
    <w:rsid w:val="00DB4C43"/>
    <w:rsid w:val="00DB595F"/>
    <w:rsid w:val="00DB7FDE"/>
    <w:rsid w:val="00DC6AD4"/>
    <w:rsid w:val="00DD21B5"/>
    <w:rsid w:val="00DD5C67"/>
    <w:rsid w:val="00DD634E"/>
    <w:rsid w:val="00DD7E22"/>
    <w:rsid w:val="00DE19B1"/>
    <w:rsid w:val="00DE36C4"/>
    <w:rsid w:val="00DE3758"/>
    <w:rsid w:val="00DE6D07"/>
    <w:rsid w:val="00DF11DE"/>
    <w:rsid w:val="00DF4111"/>
    <w:rsid w:val="00DF7C2F"/>
    <w:rsid w:val="00E049BA"/>
    <w:rsid w:val="00E04A98"/>
    <w:rsid w:val="00E123A4"/>
    <w:rsid w:val="00E12E4B"/>
    <w:rsid w:val="00E152DE"/>
    <w:rsid w:val="00E21FB9"/>
    <w:rsid w:val="00E24AA2"/>
    <w:rsid w:val="00E25A01"/>
    <w:rsid w:val="00E3020D"/>
    <w:rsid w:val="00E40BA2"/>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0563"/>
    <w:rsid w:val="00EB5A1B"/>
    <w:rsid w:val="00EB631F"/>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19DF"/>
    <w:rsid w:val="00F26183"/>
    <w:rsid w:val="00F3046C"/>
    <w:rsid w:val="00F31EBF"/>
    <w:rsid w:val="00F35EE4"/>
    <w:rsid w:val="00F35FCF"/>
    <w:rsid w:val="00F36C9A"/>
    <w:rsid w:val="00F371EF"/>
    <w:rsid w:val="00F37BE0"/>
    <w:rsid w:val="00F40D06"/>
    <w:rsid w:val="00F4194C"/>
    <w:rsid w:val="00F44251"/>
    <w:rsid w:val="00F50B5E"/>
    <w:rsid w:val="00F5113F"/>
    <w:rsid w:val="00F51C44"/>
    <w:rsid w:val="00F546F1"/>
    <w:rsid w:val="00F56918"/>
    <w:rsid w:val="00F56928"/>
    <w:rsid w:val="00F62F46"/>
    <w:rsid w:val="00F631D6"/>
    <w:rsid w:val="00F652F1"/>
    <w:rsid w:val="00F65914"/>
    <w:rsid w:val="00F65D16"/>
    <w:rsid w:val="00F726C9"/>
    <w:rsid w:val="00F74D25"/>
    <w:rsid w:val="00F74EFD"/>
    <w:rsid w:val="00F755B8"/>
    <w:rsid w:val="00F85F10"/>
    <w:rsid w:val="00F8662B"/>
    <w:rsid w:val="00F8743F"/>
    <w:rsid w:val="00F90A7B"/>
    <w:rsid w:val="00F90DC3"/>
    <w:rsid w:val="00F934FD"/>
    <w:rsid w:val="00F96A18"/>
    <w:rsid w:val="00F96A9C"/>
    <w:rsid w:val="00FA4BF2"/>
    <w:rsid w:val="00FA5203"/>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75056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22208021">
      <w:bodyDiv w:val="1"/>
      <w:marLeft w:val="0"/>
      <w:marRight w:val="0"/>
      <w:marTop w:val="0"/>
      <w:marBottom w:val="0"/>
      <w:divBdr>
        <w:top w:val="none" w:sz="0" w:space="0" w:color="auto"/>
        <w:left w:val="none" w:sz="0" w:space="0" w:color="auto"/>
        <w:bottom w:val="none" w:sz="0" w:space="0" w:color="auto"/>
        <w:right w:val="none" w:sz="0" w:space="0" w:color="auto"/>
      </w:divBdr>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29379266">
      <w:bodyDiv w:val="1"/>
      <w:marLeft w:val="0"/>
      <w:marRight w:val="0"/>
      <w:marTop w:val="0"/>
      <w:marBottom w:val="0"/>
      <w:divBdr>
        <w:top w:val="none" w:sz="0" w:space="0" w:color="auto"/>
        <w:left w:val="none" w:sz="0" w:space="0" w:color="auto"/>
        <w:bottom w:val="none" w:sz="0" w:space="0" w:color="auto"/>
        <w:right w:val="none" w:sz="0" w:space="0" w:color="auto"/>
      </w:divBdr>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591356900">
      <w:bodyDiv w:val="1"/>
      <w:marLeft w:val="0"/>
      <w:marRight w:val="0"/>
      <w:marTop w:val="0"/>
      <w:marBottom w:val="0"/>
      <w:divBdr>
        <w:top w:val="none" w:sz="0" w:space="0" w:color="auto"/>
        <w:left w:val="none" w:sz="0" w:space="0" w:color="auto"/>
        <w:bottom w:val="none" w:sz="0" w:space="0" w:color="auto"/>
        <w:right w:val="none" w:sz="0" w:space="0" w:color="auto"/>
      </w:divBdr>
    </w:div>
    <w:div w:id="1750929554">
      <w:bodyDiv w:val="1"/>
      <w:marLeft w:val="0"/>
      <w:marRight w:val="0"/>
      <w:marTop w:val="0"/>
      <w:marBottom w:val="0"/>
      <w:divBdr>
        <w:top w:val="none" w:sz="0" w:space="0" w:color="auto"/>
        <w:left w:val="none" w:sz="0" w:space="0" w:color="auto"/>
        <w:bottom w:val="none" w:sz="0" w:space="0" w:color="auto"/>
        <w:right w:val="none" w:sz="0" w:space="0" w:color="auto"/>
      </w:divBdr>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5343202">
      <w:bodyDiv w:val="1"/>
      <w:marLeft w:val="0"/>
      <w:marRight w:val="0"/>
      <w:marTop w:val="0"/>
      <w:marBottom w:val="0"/>
      <w:divBdr>
        <w:top w:val="none" w:sz="0" w:space="0" w:color="auto"/>
        <w:left w:val="none" w:sz="0" w:space="0" w:color="auto"/>
        <w:bottom w:val="none" w:sz="0" w:space="0" w:color="auto"/>
        <w:right w:val="none" w:sz="0" w:space="0" w:color="auto"/>
      </w:divBdr>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884321991">
      <w:bodyDiv w:val="1"/>
      <w:marLeft w:val="0"/>
      <w:marRight w:val="0"/>
      <w:marTop w:val="0"/>
      <w:marBottom w:val="0"/>
      <w:divBdr>
        <w:top w:val="none" w:sz="0" w:space="0" w:color="auto"/>
        <w:left w:val="none" w:sz="0" w:space="0" w:color="auto"/>
        <w:bottom w:val="none" w:sz="0" w:space="0" w:color="auto"/>
        <w:right w:val="none" w:sz="0" w:space="0" w:color="auto"/>
      </w:divBdr>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downloadFile/59599"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6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7" TargetMode="External"/><Relationship Id="rId5" Type="http://schemas.openxmlformats.org/officeDocument/2006/relationships/numbering" Target="numbering.xml"/><Relationship Id="rId15" Type="http://schemas.openxmlformats.org/officeDocument/2006/relationships/hyperlink" Target="https://oceanexpert.org/document/3609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eanexpert.org/document/364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2.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3.xml><?xml version="1.0" encoding="utf-8"?>
<ds:datastoreItem xmlns:ds="http://schemas.openxmlformats.org/officeDocument/2006/customXml" ds:itemID="{E0BCD7F4-036F-470C-B0EC-21210DC32E62}">
  <ds:schemaRefs>
    <ds:schemaRef ds:uri="http://schemas.microsoft.com/office/infopath/2007/PartnerControls"/>
    <ds:schemaRef ds:uri="http://www.w3.org/XML/1998/namespace"/>
    <ds:schemaRef ds:uri="http://schemas.microsoft.com/office/2006/documentManagement/types"/>
    <ds:schemaRef ds:uri="de86eab3-7e79-4a6c-9299-b0d67a87b48e"/>
    <ds:schemaRef ds:uri="http://purl.org/dc/elements/1.1/"/>
    <ds:schemaRef ds:uri="http://schemas.openxmlformats.org/package/2006/metadata/core-properties"/>
    <ds:schemaRef ds:uri="ad7c873b-b406-4c8b-ac2c-9c1e4433ca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2127</Words>
  <Characters>11065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IOC</Company>
  <LinksUpToDate>false</LinksUpToDate>
  <CharactersWithSpaces>13166</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3</cp:revision>
  <cp:lastPrinted>2025-06-06T08:01:00Z</cp:lastPrinted>
  <dcterms:created xsi:type="dcterms:W3CDTF">2025-06-11T15:59:00Z</dcterms:created>
  <dcterms:modified xsi:type="dcterms:W3CDTF">2025-06-12T09:31:00Z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