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84CA" w14:textId="77777777" w:rsidR="00B213E5" w:rsidRDefault="00B213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7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213E5" w:rsidRPr="00AE06D7" w14:paraId="310A6A9C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7F2F52" w14:textId="77777777" w:rsidR="00B213E5" w:rsidRDefault="00AA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  <w:lang w:val="ru"/>
              </w:rPr>
              <w:t>Резюме</w:t>
            </w:r>
          </w:p>
          <w:p w14:paraId="754732E1" w14:textId="77777777" w:rsidR="00B213E5" w:rsidRDefault="00AA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lang w:val="ru"/>
              </w:rPr>
              <w:t>Система примеров передового опыта в области океанических исследований (СПОО), созданная как проект ГСНО-МООД в соответствии с решением IOC-XXX/7.2.1 в 2019 году, сыграла важную роль в поддержке разработки и доступности передового опыта по всей цепочке приращения стоимости в области океана.</w:t>
            </w:r>
          </w:p>
          <w:p w14:paraId="4777D6A0" w14:textId="6946CAB9" w:rsidR="00B213E5" w:rsidRPr="00AE06D7" w:rsidRDefault="00AA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lang w:val="ru"/>
              </w:rPr>
            </w:pPr>
            <w:r>
              <w:rPr>
                <w:lang w:val="ru"/>
              </w:rPr>
              <w:t>Сегодня СПОО предлагает выйти за рамки ГСНО и МООД и привлечь все программы и подкомиссии МОК к внесению вклада в ее управление и финансирование, тем самым повысив ее устойчивость и максимально увеличив ее воздействие. Такая интеграция обеспечит МОК единую и структурированную систему для передового опыта, которая укрепит оперативную совместимость, глобальную видимость и сотрудничество между программами, связанными с океаном. С этой целью предложение предусматривает пересмотр целей СПОО и учреждение Руководящей группы МОК СПОО с кругом ведения, прилагаемым к проекту решения по данному пункту повестки дня.</w:t>
            </w:r>
          </w:p>
          <w:p w14:paraId="3003D711" w14:textId="55432270" w:rsidR="004C06BF" w:rsidRPr="00AE06D7" w:rsidRDefault="004C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color w:val="000000"/>
                <w:lang w:val="ru"/>
              </w:rPr>
              <w:t>: пункт 7</w:t>
            </w:r>
            <w:r>
              <w:rPr>
                <w:lang w:val="ru"/>
              </w:rPr>
              <w:t>.</w:t>
            </w:r>
          </w:p>
          <w:p w14:paraId="5B719FC0" w14:textId="7BD97D59" w:rsidR="00B213E5" w:rsidRPr="00AE06D7" w:rsidRDefault="00AA5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lang w:val="ru"/>
              </w:rPr>
            </w:pPr>
            <w:r>
              <w:rPr>
                <w:color w:val="000000"/>
                <w:u w:val="single"/>
                <w:lang w:val="ru"/>
              </w:rPr>
              <w:t>Предлагаемое решение</w:t>
            </w:r>
            <w:r>
              <w:rPr>
                <w:color w:val="000000"/>
                <w:lang w:val="ru"/>
              </w:rPr>
              <w:t xml:space="preserve"> представлено в Документе о принятых и предлагаемых мерах (документ IOC/A-33/2 Prov.) под номером A-33/Dec.</w:t>
            </w:r>
            <w:r>
              <w:rPr>
                <w:lang w:val="ru"/>
              </w:rPr>
              <w:t>3.4.4</w:t>
            </w:r>
            <w:r>
              <w:rPr>
                <w:color w:val="000000"/>
                <w:lang w:val="ru"/>
              </w:rPr>
              <w:t>.</w:t>
            </w:r>
          </w:p>
        </w:tc>
      </w:tr>
    </w:tbl>
    <w:p w14:paraId="1ADCB2BC" w14:textId="77777777" w:rsidR="00B213E5" w:rsidRPr="00AE06D7" w:rsidRDefault="00B213E5">
      <w:pPr>
        <w:pStyle w:val="Heading3"/>
        <w:rPr>
          <w:lang w:val="ru"/>
        </w:rPr>
      </w:pPr>
    </w:p>
    <w:p w14:paraId="7349AA3B" w14:textId="77777777" w:rsidR="00F57B2F" w:rsidRPr="00AE06D7" w:rsidRDefault="00F57B2F">
      <w:pPr>
        <w:rPr>
          <w:lang w:val="ru"/>
        </w:rPr>
      </w:pPr>
      <w:r>
        <w:rPr>
          <w:lang w:val="ru"/>
        </w:rPr>
        <w:br w:type="page"/>
      </w:r>
    </w:p>
    <w:p w14:paraId="1FC1A63F" w14:textId="30C16B71" w:rsidR="00B213E5" w:rsidRPr="00AE06D7" w:rsidRDefault="00AA58BB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lastRenderedPageBreak/>
        <w:t>В 2019 году решением IOC-XXX/7.2.1. была одобрена Система примеров передового опыта в области океанических исследований (СПОО) как проект МОК-ЮНЕСКО, поддерживаемый Глобальной системой наблюдений за океаном (ГСНО) и Программой международного обмена океанографическими данными и информацией (МООД). В решении были определены следующие цели СПОО: (i) повышение эффективности, воспроизводимости и оперативной совместимости по всей цепочке приращения стоимости в области исследований океана путем предоставления сообществу единой, устойчивой и легкодоступной базы знаний по передовому междисциплинарному опыту; (ii) обеспечение скоординированного и устойчивого глобального доступа к передовому опыту в области наблюдений за океаном для содействия инновациям и совершенствования путем разработки системы и вовлечения сообществ наблюдения за океаном в совместные и скоординированные усилия по созданию, пересмотру и поддержанию документов по передовому опыту.</w:t>
      </w:r>
    </w:p>
    <w:p w14:paraId="63139175" w14:textId="0B94E536" w:rsidR="00B213E5" w:rsidRPr="00AE06D7" w:rsidRDefault="00AA58BB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 xml:space="preserve">Осознавая запрос на передовой опыт как общесистемную потребность МОК согласно </w:t>
      </w:r>
      <w:hyperlink r:id="rId7" w:history="1">
        <w:r>
          <w:rPr>
            <w:rStyle w:val="Hyperlink"/>
            <w:i/>
            <w:iCs/>
            <w:lang w:val="ru"/>
          </w:rPr>
          <w:t>Среднесрочной стратегии МОК на 2022–2029 годы</w:t>
        </w:r>
      </w:hyperlink>
      <w:r>
        <w:rPr>
          <w:lang w:val="ru"/>
        </w:rPr>
        <w:t>, а также в целях обеспечения ее устойчивости в долгосрочной перспективе, Руководящая группа СПОО на шестом ежегодном заседании (</w:t>
      </w:r>
      <w:hyperlink r:id="rId8">
        <w:r>
          <w:rPr>
            <w:color w:val="1155CC"/>
            <w:u w:val="single"/>
            <w:lang w:val="ru"/>
          </w:rPr>
          <w:t>см. доклад</w:t>
        </w:r>
      </w:hyperlink>
      <w:r>
        <w:rPr>
          <w:lang w:val="ru"/>
        </w:rPr>
        <w:t xml:space="preserve">) в 2024 году предложила расширить СПОО за пределы МООД и ГСНО. Такое стратегическое изменение обеспечит всем программам и подкомиссиям МОК интегрированную и структурированную систему и базу передового опыта, укрепив координацию, оперативную совместимость и обмен знаниями между МОК и ее сообществами. </w:t>
      </w:r>
    </w:p>
    <w:p w14:paraId="00C015CA" w14:textId="77777777" w:rsidR="00B213E5" w:rsidRPr="00AE06D7" w:rsidRDefault="00AA58BB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lang w:val="ru"/>
        </w:rPr>
      </w:pPr>
      <w:r>
        <w:rPr>
          <w:lang w:val="ru"/>
        </w:rPr>
        <w:t xml:space="preserve">На сегодняшний день СПОО является динамичным и растущим ресурсом, постоянно совершенствующим свою базу и взаимодействие с заинтересованными сторонами в области океана. Эта база значительно выросла, и содержит в настоящее время 2247 документов и 20 одобренных передовых практик, некоторые из которых набрали от 5000 до 6000 просмотров. Взаимодействие с пользователями остается активным: более 80 000 зарегистрированных пользователей отправляют и загружают документы. Текущая техническая модернизация, включая обновление программного обеспечения и совершенствование фильтров метаданных, направлены на повышение результативности поиска документов. Инициативы по развитию потенциала включают учебный курс самоподготовки Глобальной академии «Океан-Инструктор», </w:t>
      </w:r>
      <w:r>
        <w:rPr>
          <w:highlight w:val="white"/>
          <w:lang w:val="ru"/>
        </w:rPr>
        <w:t>разъясняющий как представить передовые практики, обменяться ими или найти их.</w:t>
      </w:r>
    </w:p>
    <w:p w14:paraId="6410A984" w14:textId="77777777" w:rsidR="00B213E5" w:rsidRPr="00AE06D7" w:rsidRDefault="00AA58BB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color w:val="000000"/>
          <w:lang w:val="ru"/>
        </w:rPr>
      </w:pPr>
      <w:r>
        <w:rPr>
          <w:lang w:val="ru"/>
        </w:rPr>
        <w:t>Будущее развитие СПОО посредством совместных обязательств по программам и подкомиссиям МОК расширит ее охват за счет укрепления связей между элементами МОК, включая Систему океанографических данных и информации МОК (ОДИС), и интеграции с различными экосистемами данных, включая сообщества Десятилетия ООН, посвященного науке об океане. Использование СПОО позволит МОК и сообществу, связанному с океаном, улучшить глобальный и междисциплинарный доступ к ключевым методикам, одновременно способствуя одобрению передового опыта. Кроме того, улучшение функции поиска, перевод передовых практик на различные языки и устойчивое курирование базы еще больше укрепят СПОО, принеся пользу как МОК, так и более широкому сообществу, связанному с океаном.</w:t>
      </w:r>
    </w:p>
    <w:p w14:paraId="6E442390" w14:textId="6F62FD1D" w:rsidR="00B213E5" w:rsidRPr="00AE06D7" w:rsidRDefault="00886F29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lang w:val="ru"/>
        </w:rPr>
      </w:pPr>
      <w:r>
        <w:rPr>
          <w:highlight w:val="white"/>
          <w:lang w:val="ru"/>
        </w:rPr>
        <w:t>Цель предлагаемого нового круга ведения СПОО заключается в развитии</w:t>
      </w:r>
      <w:r>
        <w:rPr>
          <w:lang w:val="ru"/>
        </w:rPr>
        <w:t xml:space="preserve"> от деятельности на основе проекта ГСНО-МООД до комплексной деятельности по всем программам МОК в форме универсальной и доступной платформы передового опыта и стандартов, связанных с МОК и вопросами океана, которая будет оставаться устойчивой с течением времени в растущей сети сообществ, связанных с океаном. Расширяя свой охват на всю цепочку приращения стоимости в области океана, СПОО будет вовлекать все более широкий круг заинтересованных сторон, тем самым усиливая свое воздействие, повышая свою устойчивость и консолидируя свою роль как бесценного ресурса для МОК и более широкого сообщества, связанного с океаном. </w:t>
      </w:r>
    </w:p>
    <w:p w14:paraId="2E68EC30" w14:textId="61C4CCD2" w:rsidR="00F572C2" w:rsidRDefault="00F572C2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</w:pPr>
      <w:r>
        <w:rPr>
          <w:lang w:val="ru"/>
        </w:rPr>
        <w:lastRenderedPageBreak/>
        <w:t>В соответствии с данным предложением руководство СПОО будет осуществляться Руководящей группой МОК, чей круг ведения изложен в приложении к предлагаемому решению A-33/Dec.3.4.4.</w:t>
      </w:r>
    </w:p>
    <w:p w14:paraId="1206415A" w14:textId="38B63104" w:rsidR="004C06BF" w:rsidRPr="004C06BF" w:rsidRDefault="004C06BF" w:rsidP="004C06BF">
      <w:p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  <w:rPr>
          <w:b/>
          <w:bCs/>
        </w:rPr>
      </w:pPr>
      <w:r>
        <w:rPr>
          <w:b/>
          <w:bCs/>
          <w:lang w:val="ru"/>
        </w:rPr>
        <w:t>Финансовые и административные последствия</w:t>
      </w:r>
    </w:p>
    <w:p w14:paraId="6E12B209" w14:textId="3FBD5799" w:rsidR="004C06BF" w:rsidRDefault="005D78AE" w:rsidP="00F57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851"/>
        </w:tabs>
        <w:spacing w:after="240"/>
        <w:jc w:val="both"/>
      </w:pPr>
      <w:r>
        <w:rPr>
          <w:lang w:val="ru"/>
        </w:rPr>
        <w:t>Все финансовые и административные последствия деятельности находятся в рамках Программы и бюджета МОК (42 C/5).</w:t>
      </w:r>
    </w:p>
    <w:sectPr w:rsidR="004C06BF">
      <w:headerReference w:type="even" r:id="rId9"/>
      <w:headerReference w:type="default" r:id="rId10"/>
      <w:headerReference w:type="first" r:id="rId11"/>
      <w:pgSz w:w="11906" w:h="16838"/>
      <w:pgMar w:top="1418" w:right="1134" w:bottom="1134" w:left="1134" w:header="709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1E00" w14:textId="77777777" w:rsidR="00AA58BB" w:rsidRDefault="00AA58BB">
      <w:r>
        <w:separator/>
      </w:r>
    </w:p>
  </w:endnote>
  <w:endnote w:type="continuationSeparator" w:id="0">
    <w:p w14:paraId="7ED135C5" w14:textId="77777777" w:rsidR="00AA58BB" w:rsidRDefault="00AA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EE0A" w14:textId="77777777" w:rsidR="00AA58BB" w:rsidRDefault="00AA58BB">
      <w:r>
        <w:separator/>
      </w:r>
    </w:p>
  </w:footnote>
  <w:footnote w:type="continuationSeparator" w:id="0">
    <w:p w14:paraId="6C52B16F" w14:textId="77777777" w:rsidR="00AA58BB" w:rsidRDefault="00AA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9B01" w14:textId="2ED14D72" w:rsidR="00B213E5" w:rsidRDefault="00AA58BB" w:rsidP="00AE06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IOC/A-33/</w:t>
    </w:r>
    <w:r>
      <w:rPr>
        <w:sz w:val="20"/>
        <w:szCs w:val="20"/>
        <w:lang w:val="ru"/>
      </w:rPr>
      <w:t>3.4.4.</w:t>
    </w:r>
    <w:r>
      <w:rPr>
        <w:color w:val="000000"/>
        <w:sz w:val="20"/>
        <w:szCs w:val="20"/>
        <w:lang w:val="ru"/>
      </w:rPr>
      <w:t>Doc(1)</w:t>
    </w:r>
  </w:p>
  <w:p w14:paraId="2E1251AD" w14:textId="17FDF205" w:rsidR="00B213E5" w:rsidRDefault="00AA58BB" w:rsidP="00AE06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  <w:lang w:val="ru"/>
      </w:rPr>
      <w:t>страница </w:t>
    </w:r>
    <w:r>
      <w:rPr>
        <w:color w:val="000000"/>
        <w:sz w:val="20"/>
        <w:szCs w:val="20"/>
        <w:lang w:val="ru"/>
      </w:rPr>
      <w:fldChar w:fldCharType="begin"/>
    </w:r>
    <w:r>
      <w:rPr>
        <w:color w:val="000000"/>
        <w:sz w:val="20"/>
        <w:szCs w:val="20"/>
        <w:lang w:val="ru"/>
      </w:rPr>
      <w:instrText>PAGE</w:instrText>
    </w:r>
    <w:r>
      <w:rPr>
        <w:color w:val="000000"/>
        <w:sz w:val="20"/>
        <w:szCs w:val="20"/>
        <w:lang w:val="ru"/>
      </w:rPr>
      <w:fldChar w:fldCharType="separate"/>
    </w:r>
    <w:r>
      <w:rPr>
        <w:noProof/>
        <w:color w:val="000000"/>
        <w:sz w:val="20"/>
        <w:szCs w:val="20"/>
        <w:lang w:val="ru"/>
      </w:rPr>
      <w:t>2</w:t>
    </w:r>
    <w:r>
      <w:rPr>
        <w:color w:val="000000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C718" w14:textId="64131810" w:rsidR="00B213E5" w:rsidRDefault="00AE06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 w:rsidRPr="00AE06D7">
      <w:rPr>
        <w:color w:val="000000"/>
        <w:sz w:val="20"/>
        <w:szCs w:val="20"/>
        <w:lang w:val="fr-FR"/>
      </w:rPr>
      <w:t>IOC/A-33/3.4.</w:t>
    </w:r>
    <w:proofErr w:type="gramStart"/>
    <w:r w:rsidRPr="00AE06D7">
      <w:rPr>
        <w:color w:val="000000"/>
        <w:sz w:val="20"/>
        <w:szCs w:val="20"/>
        <w:lang w:val="fr-FR"/>
      </w:rPr>
      <w:t>4.Doc</w:t>
    </w:r>
    <w:proofErr w:type="gramEnd"/>
    <w:r w:rsidRPr="00AE06D7">
      <w:rPr>
        <w:color w:val="000000"/>
        <w:sz w:val="20"/>
        <w:szCs w:val="20"/>
        <w:lang w:val="fr-FR"/>
      </w:rPr>
      <w:t>(1)</w:t>
    </w:r>
  </w:p>
  <w:p w14:paraId="2F1BBE4F" w14:textId="1174B329" w:rsidR="00B213E5" w:rsidRDefault="00AA58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lang w:val="ru"/>
      </w:rPr>
      <w:t xml:space="preserve">страница </w:t>
    </w:r>
    <w:r>
      <w:rPr>
        <w:color w:val="000000"/>
        <w:lang w:val="ru"/>
      </w:rPr>
      <w:fldChar w:fldCharType="begin"/>
    </w:r>
    <w:r>
      <w:rPr>
        <w:color w:val="000000"/>
        <w:lang w:val="ru"/>
      </w:rPr>
      <w:instrText>PAGE</w:instrText>
    </w:r>
    <w:r>
      <w:rPr>
        <w:color w:val="000000"/>
        <w:lang w:val="ru"/>
      </w:rPr>
      <w:fldChar w:fldCharType="separate"/>
    </w:r>
    <w:r w:rsidR="00AE06D7">
      <w:rPr>
        <w:noProof/>
        <w:color w:val="000000"/>
        <w:lang w:val="ru"/>
      </w:rPr>
      <w:t>3</w:t>
    </w:r>
    <w:r>
      <w:rPr>
        <w:color w:val="000000"/>
        <w:lang w:val="ru"/>
      </w:rPr>
      <w:fldChar w:fldCharType="end"/>
    </w:r>
  </w:p>
  <w:p w14:paraId="5660A754" w14:textId="77777777" w:rsidR="00B213E5" w:rsidRDefault="00B213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680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05E0" w14:textId="77777777" w:rsidR="00F57B2F" w:rsidRDefault="00F57B2F" w:rsidP="00F57B2F">
    <w:pPr>
      <w:pBdr>
        <w:top w:val="nil"/>
        <w:left w:val="nil"/>
        <w:bottom w:val="nil"/>
        <w:right w:val="nil"/>
        <w:between w:val="nil"/>
      </w:pBdr>
      <w:tabs>
        <w:tab w:val="left" w:pos="5812"/>
        <w:tab w:val="left" w:pos="7560"/>
      </w:tabs>
      <w:jc w:val="both"/>
      <w:rPr>
        <w:b/>
        <w:color w:val="000000"/>
      </w:rPr>
    </w:pPr>
    <w:r>
      <w:rPr>
        <w:color w:val="000000"/>
        <w:lang w:val="ru"/>
      </w:rPr>
      <w:t>Рассылается по списку</w:t>
    </w:r>
    <w:r>
      <w:rPr>
        <w:color w:val="000000"/>
        <w:lang w:val="ru"/>
      </w:rPr>
      <w:tab/>
    </w:r>
    <w:r>
      <w:rPr>
        <w:b/>
        <w:bCs/>
        <w:color w:val="000000"/>
        <w:sz w:val="36"/>
        <w:szCs w:val="36"/>
        <w:lang w:val="ru"/>
      </w:rPr>
      <w:t xml:space="preserve">IOC/A-33/3.4.4.Doc(1) </w:t>
    </w:r>
  </w:p>
  <w:p w14:paraId="294E3253" w14:textId="77777777" w:rsidR="00F57B2F" w:rsidRPr="00AE06D7" w:rsidRDefault="00F57B2F" w:rsidP="00F57B2F">
    <w:pPr>
      <w:tabs>
        <w:tab w:val="left" w:pos="5812"/>
        <w:tab w:val="left" w:pos="7560"/>
      </w:tabs>
      <w:jc w:val="both"/>
      <w:rPr>
        <w:lang w:val="ru"/>
      </w:rPr>
    </w:pPr>
    <w:r>
      <w:rPr>
        <w:lang w:val="ru"/>
      </w:rPr>
      <w:tab/>
      <w:t>Париж, 15 апреля 2025 года</w:t>
    </w:r>
    <w:r>
      <w:rPr>
        <w:noProof/>
        <w:lang w:val="ru"/>
      </w:rPr>
      <w:drawing>
        <wp:anchor distT="0" distB="0" distL="114300" distR="114300" simplePos="0" relativeHeight="251659264" behindDoc="0" locked="0" layoutInCell="1" hidden="0" allowOverlap="1" wp14:anchorId="3241BE1F" wp14:editId="1F2774B2">
          <wp:simplePos x="0" y="0"/>
          <wp:positionH relativeFrom="column">
            <wp:posOffset>-19684</wp:posOffset>
          </wp:positionH>
          <wp:positionV relativeFrom="paragraph">
            <wp:posOffset>101600</wp:posOffset>
          </wp:positionV>
          <wp:extent cx="1578610" cy="1047115"/>
          <wp:effectExtent l="0" t="0" r="0" b="0"/>
          <wp:wrapSquare wrapText="bothSides" distT="0" distB="0" distL="114300" distR="114300"/>
          <wp:docPr id="1" name="image1.jpg" descr="Логотип, название компании Описание генерируется автоматическ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ED6CB9" w14:textId="77777777" w:rsidR="00F57B2F" w:rsidRPr="00AE06D7" w:rsidRDefault="00F57B2F" w:rsidP="00F57B2F">
    <w:pPr>
      <w:tabs>
        <w:tab w:val="left" w:pos="5812"/>
        <w:tab w:val="left" w:pos="7560"/>
      </w:tabs>
      <w:jc w:val="both"/>
      <w:rPr>
        <w:lang w:val="ru"/>
      </w:rPr>
    </w:pPr>
    <w:r>
      <w:rPr>
        <w:lang w:val="ru"/>
      </w:rPr>
      <w:tab/>
    </w:r>
    <w:r>
      <w:rPr>
        <w:lang w:val="ru"/>
      </w:rPr>
      <w:t>Язык оригинала: английский</w:t>
    </w:r>
  </w:p>
  <w:p w14:paraId="2A70D57E" w14:textId="77777777" w:rsidR="00F57B2F" w:rsidRPr="00AE06D7" w:rsidRDefault="00F57B2F" w:rsidP="00F57B2F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b/>
        <w:lang w:val="ru"/>
      </w:rPr>
    </w:pPr>
  </w:p>
  <w:p w14:paraId="45BB05E9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32DE8BE5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1EA99846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6B43853A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185AED12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b/>
        <w:lang w:val="ru"/>
      </w:rPr>
    </w:pPr>
  </w:p>
  <w:p w14:paraId="73458DB3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МЕЖПРАВИТЕЛЬСТВЕННАЯ ОКЕАНОГРАФИЧЕСКАЯ КОМИССИЯ</w:t>
    </w:r>
  </w:p>
  <w:p w14:paraId="4E59F4C7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(ЮНЕСКО)</w:t>
    </w:r>
  </w:p>
  <w:p w14:paraId="6C104DBB" w14:textId="77777777" w:rsidR="00F57B2F" w:rsidRPr="00AE06D7" w:rsidRDefault="00F57B2F" w:rsidP="00F57B2F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</w:p>
  <w:p w14:paraId="4882FE29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b/>
        <w:lang w:val="ru"/>
      </w:rPr>
    </w:pPr>
    <w:r>
      <w:rPr>
        <w:b/>
        <w:bCs/>
        <w:lang w:val="ru"/>
      </w:rPr>
      <w:t>Тридцать третья сессия Ассамблеи</w:t>
    </w:r>
  </w:p>
  <w:p w14:paraId="645D5537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  <w:r>
      <w:rPr>
        <w:lang w:val="ru"/>
      </w:rPr>
      <w:t>ЮНЕСКО, 25 июня – 3 июля 2025 г.</w:t>
    </w:r>
  </w:p>
  <w:p w14:paraId="6B9B1584" w14:textId="77777777" w:rsidR="00F57B2F" w:rsidRPr="00AE06D7" w:rsidRDefault="00F57B2F" w:rsidP="00F57B2F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lang w:val="ru"/>
      </w:rPr>
    </w:pPr>
  </w:p>
  <w:p w14:paraId="3795506E" w14:textId="77777777" w:rsidR="00F57B2F" w:rsidRPr="00AE06D7" w:rsidRDefault="00F57B2F" w:rsidP="00F57B2F">
    <w:pPr>
      <w:jc w:val="center"/>
      <w:rPr>
        <w:lang w:val="ru"/>
      </w:rPr>
    </w:pPr>
  </w:p>
  <w:p w14:paraId="763B5FF4" w14:textId="77777777" w:rsidR="00F57B2F" w:rsidRPr="00AE06D7" w:rsidRDefault="00F57B2F" w:rsidP="00F57B2F">
    <w:pPr>
      <w:jc w:val="center"/>
      <w:rPr>
        <w:lang w:val="ru"/>
      </w:rPr>
    </w:pPr>
  </w:p>
  <w:p w14:paraId="5EDD053B" w14:textId="77777777" w:rsidR="00F57B2F" w:rsidRPr="00AE06D7" w:rsidRDefault="00F57B2F" w:rsidP="00F57B2F">
    <w:pPr>
      <w:jc w:val="center"/>
      <w:rPr>
        <w:lang w:val="ru"/>
      </w:rPr>
    </w:pPr>
  </w:p>
  <w:p w14:paraId="601E905C" w14:textId="77777777" w:rsidR="00F57B2F" w:rsidRPr="00AE06D7" w:rsidRDefault="00F57B2F" w:rsidP="00F57B2F">
    <w:pPr>
      <w:jc w:val="center"/>
      <w:rPr>
        <w:lang w:val="ru"/>
      </w:rPr>
    </w:pPr>
  </w:p>
  <w:p w14:paraId="0F94F0CB" w14:textId="77777777" w:rsidR="00F57B2F" w:rsidRPr="00AE06D7" w:rsidRDefault="00F57B2F" w:rsidP="00F57B2F">
    <w:pPr>
      <w:jc w:val="center"/>
      <w:rPr>
        <w:lang w:val="ru"/>
      </w:rPr>
    </w:pPr>
  </w:p>
  <w:p w14:paraId="5FE64747" w14:textId="77777777" w:rsidR="00F57B2F" w:rsidRPr="00AE06D7" w:rsidRDefault="00F57B2F" w:rsidP="00F57B2F">
    <w:pPr>
      <w:keepNext/>
      <w:pBdr>
        <w:top w:val="nil"/>
        <w:left w:val="nil"/>
        <w:bottom w:val="nil"/>
        <w:right w:val="nil"/>
        <w:between w:val="nil"/>
      </w:pBdr>
      <w:tabs>
        <w:tab w:val="right" w:pos="9540"/>
      </w:tabs>
      <w:rPr>
        <w:bCs/>
        <w:color w:val="000000"/>
        <w:u w:val="single"/>
        <w:lang w:val="ru"/>
      </w:rPr>
    </w:pPr>
    <w:r>
      <w:rPr>
        <w:color w:val="000000"/>
        <w:sz w:val="24"/>
        <w:szCs w:val="24"/>
        <w:u w:val="single"/>
        <w:lang w:val="ru"/>
      </w:rPr>
      <w:t xml:space="preserve">Пункт </w:t>
    </w:r>
    <w:r>
      <w:rPr>
        <w:b/>
        <w:bCs/>
        <w:color w:val="000000"/>
        <w:sz w:val="24"/>
        <w:szCs w:val="24"/>
        <w:u w:val="single"/>
        <w:lang w:val="ru"/>
      </w:rPr>
      <w:t>3.4.</w:t>
    </w:r>
    <w:r>
      <w:rPr>
        <w:b/>
        <w:bCs/>
        <w:sz w:val="24"/>
        <w:szCs w:val="24"/>
        <w:u w:val="single"/>
        <w:lang w:val="ru"/>
      </w:rPr>
      <w:t>4</w:t>
    </w:r>
    <w:r>
      <w:rPr>
        <w:color w:val="000000"/>
        <w:sz w:val="24"/>
        <w:szCs w:val="24"/>
        <w:u w:val="single"/>
        <w:lang w:val="ru"/>
      </w:rPr>
      <w:t xml:space="preserve"> предварительной повестки дня</w:t>
    </w:r>
  </w:p>
  <w:p w14:paraId="20495D17" w14:textId="77777777" w:rsidR="00F57B2F" w:rsidRPr="00AE06D7" w:rsidRDefault="00F57B2F" w:rsidP="00F57B2F">
    <w:pPr>
      <w:rPr>
        <w:lang w:val="ru"/>
      </w:rPr>
    </w:pPr>
  </w:p>
  <w:p w14:paraId="3984FD38" w14:textId="77777777" w:rsidR="00F57B2F" w:rsidRPr="00AE06D7" w:rsidRDefault="00F57B2F" w:rsidP="00F57B2F">
    <w:pPr>
      <w:rPr>
        <w:lang w:val="ru"/>
      </w:rPr>
    </w:pPr>
  </w:p>
  <w:p w14:paraId="3DF31A38" w14:textId="77777777" w:rsidR="00F57B2F" w:rsidRPr="00AE06D7" w:rsidRDefault="00F57B2F" w:rsidP="00F5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480"/>
      <w:jc w:val="center"/>
      <w:rPr>
        <w:b/>
        <w:smallCaps/>
        <w:color w:val="000000"/>
        <w:sz w:val="24"/>
        <w:szCs w:val="24"/>
        <w:lang w:val="ru"/>
      </w:rPr>
    </w:pPr>
    <w:r>
      <w:rPr>
        <w:b/>
        <w:bCs/>
        <w:smallCaps/>
        <w:color w:val="000000"/>
        <w:sz w:val="24"/>
        <w:szCs w:val="24"/>
        <w:lang w:val="ru"/>
      </w:rPr>
      <w:t>СИСТЕМА ПРИМЕРОВ ПЕРЕДОВОГО ОПЫТА В ОБЛАСТИ ОКЕАНИЧЕСКИХ ИССЛЕДОВАНИЙ МОК</w:t>
    </w:r>
  </w:p>
  <w:p w14:paraId="7FA7C96B" w14:textId="52414424" w:rsidR="00B213E5" w:rsidRPr="00AE06D7" w:rsidRDefault="00B213E5" w:rsidP="00F57B2F">
    <w:pPr>
      <w:pStyle w:val="Header"/>
      <w:rPr>
        <w:lang w:val="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42965"/>
    <w:multiLevelType w:val="multilevel"/>
    <w:tmpl w:val="9F60B10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E5"/>
    <w:rsid w:val="000D082D"/>
    <w:rsid w:val="001A6898"/>
    <w:rsid w:val="004C06BF"/>
    <w:rsid w:val="00527F96"/>
    <w:rsid w:val="005D78AE"/>
    <w:rsid w:val="007F78E8"/>
    <w:rsid w:val="00886F29"/>
    <w:rsid w:val="00AA58BB"/>
    <w:rsid w:val="00AE06D7"/>
    <w:rsid w:val="00B213E5"/>
    <w:rsid w:val="00D86E92"/>
    <w:rsid w:val="00F572C2"/>
    <w:rsid w:val="00F57B2F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29FA0"/>
  <w15:docId w15:val="{C470D5E2-A78C-4302-8BD8-7EB4B0B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tabs>
          <w:tab w:val="left" w:pos="56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/>
      <w:ind w:left="567" w:hanging="567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7B2F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2F"/>
  </w:style>
  <w:style w:type="paragraph" w:styleId="Header">
    <w:name w:val="header"/>
    <w:basedOn w:val="Normal"/>
    <w:link w:val="HeaderChar"/>
    <w:uiPriority w:val="99"/>
    <w:semiHidden/>
    <w:unhideWhenUsed/>
    <w:rsid w:val="00F57B2F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B2F"/>
  </w:style>
  <w:style w:type="character" w:styleId="Hyperlink">
    <w:name w:val="Hyperlink"/>
    <w:basedOn w:val="DefaultParagraphFont"/>
    <w:uiPriority w:val="99"/>
    <w:unhideWhenUsed/>
    <w:rsid w:val="00F57B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54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381388.locale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Boned, Patrice</cp:lastModifiedBy>
  <cp:revision>2</cp:revision>
  <cp:lastPrinted>2025-05-20T15:56:00Z</cp:lastPrinted>
  <dcterms:created xsi:type="dcterms:W3CDTF">2025-05-26T07:57:00Z</dcterms:created>
  <dcterms:modified xsi:type="dcterms:W3CDTF">2025-05-26T07:57:00Z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