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94D8" w14:textId="77777777" w:rsidR="00E75CF6" w:rsidRPr="006D3998" w:rsidRDefault="00E75CF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2"/>
      </w:tblGrid>
      <w:tr w:rsidR="00B83068" w:rsidRPr="00207EAC" w14:paraId="6E70F37C" w14:textId="77777777" w:rsidTr="00AA2CD5">
        <w:trPr>
          <w:jc w:val="center"/>
        </w:trPr>
        <w:tc>
          <w:tcPr>
            <w:tcW w:w="779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3D9152E" w14:textId="77777777" w:rsidR="00467E3F" w:rsidRPr="006E1454" w:rsidRDefault="00B83068" w:rsidP="00853565">
            <w:pPr>
              <w:pStyle w:val="Marge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Резюме</w:t>
            </w:r>
          </w:p>
          <w:p w14:paraId="7F57F480" w14:textId="0302336C" w:rsidR="00AC32C8" w:rsidRPr="00207EAC" w:rsidRDefault="00AC32C8" w:rsidP="00602A67">
            <w:pPr>
              <w:pStyle w:val="Marge"/>
              <w:spacing w:after="200"/>
              <w:rPr>
                <w:rFonts w:cs="Arial"/>
                <w:lang w:val="ru"/>
              </w:rPr>
            </w:pPr>
            <w:r>
              <w:rPr>
                <w:rFonts w:cs="Arial"/>
                <w:lang w:val="ru"/>
              </w:rPr>
              <w:t>Решением A-31/3.5.4 (2021 г.) была учреждена Группа экспертов МОК по распространению знаний об океане сроком на четыре года. Доклад о деятельности Группы должен быть представлен государствам-членам МОК на 33-й сессии Ассамблеи. В решении также был одобрен План действий МОК по распространению знаний об океане на 2018–2021 годы (</w:t>
            </w:r>
            <w:hyperlink r:id="rId8" w:history="1">
              <w:r>
                <w:rPr>
                  <w:rStyle w:val="Hyperlink"/>
                  <w:rFonts w:cs="Arial"/>
                  <w:u w:val="none"/>
                  <w:lang w:val="ru"/>
                </w:rPr>
                <w:t xml:space="preserve">документ </w:t>
              </w:r>
              <w:r>
                <w:rPr>
                  <w:rStyle w:val="Hyperlink"/>
                  <w:rFonts w:cs="Arial"/>
                  <w:lang w:val="ru"/>
                </w:rPr>
                <w:t>IOC/A-31/3.5.4.Doc</w:t>
              </w:r>
            </w:hyperlink>
            <w:r>
              <w:rPr>
                <w:rFonts w:cs="Arial"/>
                <w:lang w:val="ru"/>
              </w:rPr>
              <w:t>) в качестве руководящего документа для работы Группы экспертов МОК на четырехлетний период. К данному документу прилагается дополнение с подробным разъяснением приоритетов в области распространения знаний об океане (только на английском языке).</w:t>
            </w:r>
          </w:p>
          <w:p w14:paraId="5B3F6C6A" w14:textId="33ACD2ED" w:rsidR="00515584" w:rsidRPr="00207EAC" w:rsidRDefault="00AC32C8" w:rsidP="00602A67">
            <w:pPr>
              <w:pStyle w:val="Marge"/>
              <w:spacing w:after="200"/>
              <w:rPr>
                <w:rFonts w:cs="Arial"/>
                <w:szCs w:val="22"/>
                <w:lang w:val="ru"/>
              </w:rPr>
            </w:pPr>
            <w:r>
              <w:rPr>
                <w:rFonts w:cs="Arial"/>
                <w:lang w:val="ru"/>
              </w:rPr>
              <w:t xml:space="preserve">Настоящий документ, подготовленный Группой экспертов, содержит проект обновленного Плана действий МОК по распространению знаний об океане на 2026-2030 годы для рассмотрения Ассамблеей в целях его окончательного утверждения Исполнительным советом МОК в 2026 году. </w:t>
            </w:r>
          </w:p>
          <w:p w14:paraId="1082367C" w14:textId="164080C5" w:rsidR="00515584" w:rsidRPr="00207EAC" w:rsidRDefault="00515584" w:rsidP="00C008B0">
            <w:pPr>
              <w:pStyle w:val="Marge"/>
              <w:rPr>
                <w:rFonts w:cs="Arial"/>
                <w:szCs w:val="22"/>
                <w:lang w:val="ru"/>
              </w:rPr>
            </w:pPr>
            <w:r>
              <w:rPr>
                <w:rFonts w:cs="Arial"/>
                <w:u w:val="single"/>
                <w:lang w:val="ru"/>
              </w:rPr>
              <w:t>Предлагаемое(-ые) решение(-я)</w:t>
            </w:r>
            <w:r>
              <w:rPr>
                <w:rFonts w:cs="Arial"/>
                <w:lang w:val="ru"/>
              </w:rPr>
              <w:t xml:space="preserve"> представлено(-ы) в Документе о принятых и предлагаемых мерах (документ </w:t>
            </w:r>
            <w:hyperlink r:id="rId9" w:history="1">
              <w:r>
                <w:rPr>
                  <w:rStyle w:val="Hyperlink"/>
                  <w:rFonts w:cs="Arial"/>
                  <w:lang w:val="ru"/>
                </w:rPr>
                <w:t>IOC/A-33/AP</w:t>
              </w:r>
            </w:hyperlink>
            <w:r>
              <w:rPr>
                <w:rFonts w:cs="Arial"/>
                <w:lang w:val="ru"/>
              </w:rPr>
              <w:t xml:space="preserve">) </w:t>
            </w:r>
            <w:r>
              <w:rPr>
                <w:rFonts w:cs="Arial"/>
                <w:szCs w:val="22"/>
                <w:lang w:val="ru"/>
              </w:rPr>
              <w:t>33-й</w:t>
            </w:r>
            <w:r>
              <w:rPr>
                <w:rFonts w:cs="Arial"/>
                <w:lang w:val="ru"/>
              </w:rPr>
              <w:t xml:space="preserve"> сессии Ассамблеи МОК под номером </w:t>
            </w:r>
            <w:r>
              <w:rPr>
                <w:rFonts w:cs="Arial"/>
                <w:color w:val="000000"/>
                <w:lang w:val="ru"/>
              </w:rPr>
              <w:t>A-33/Dec.4.4</w:t>
            </w:r>
            <w:r>
              <w:rPr>
                <w:rFonts w:cs="Arial"/>
                <w:lang w:val="ru"/>
              </w:rPr>
              <w:t>.</w:t>
            </w:r>
          </w:p>
        </w:tc>
      </w:tr>
    </w:tbl>
    <w:p w14:paraId="7E39BDFA" w14:textId="2724C787" w:rsidR="00746B89" w:rsidRPr="00207EAC" w:rsidRDefault="00746B89" w:rsidP="005C7A36">
      <w:pPr>
        <w:pStyle w:val="Heading3"/>
        <w:rPr>
          <w:lang w:val="ru"/>
        </w:rPr>
        <w:sectPr w:rsidR="00746B89" w:rsidRPr="00207EAC" w:rsidSect="003F7186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14:paraId="5EFCB24C" w14:textId="6158721D" w:rsidR="000B7E2A" w:rsidRPr="00207EAC" w:rsidRDefault="009E48BD" w:rsidP="000B7E2A">
      <w:pPr>
        <w:keepNext/>
        <w:keepLines/>
        <w:widowControl w:val="0"/>
        <w:adjustRightInd w:val="0"/>
        <w:spacing w:after="240"/>
        <w:ind w:left="567" w:hanging="567"/>
        <w:jc w:val="both"/>
        <w:textAlignment w:val="baseline"/>
        <w:outlineLvl w:val="1"/>
        <w:rPr>
          <w:rFonts w:cs="Arial"/>
          <w:b/>
          <w:bCs/>
          <w:caps/>
          <w:color w:val="000000" w:themeColor="text1"/>
          <w:szCs w:val="22"/>
          <w:lang w:val="ru"/>
        </w:rPr>
      </w:pPr>
      <w:r>
        <w:rPr>
          <w:rFonts w:cs="Arial"/>
          <w:b/>
          <w:bCs/>
          <w:color w:val="000000" w:themeColor="text1"/>
          <w:szCs w:val="22"/>
          <w:lang w:val="ru"/>
        </w:rPr>
        <w:lastRenderedPageBreak/>
        <w:t>Введение</w:t>
      </w:r>
    </w:p>
    <w:p w14:paraId="2FA8BA16" w14:textId="77777777" w:rsidR="009E48BD" w:rsidRPr="00207EAC" w:rsidRDefault="009E48BD" w:rsidP="00BC74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jc w:val="center"/>
        <w:rPr>
          <w:color w:val="000000"/>
          <w:lang w:val="ru"/>
        </w:rPr>
      </w:pPr>
      <w:r>
        <w:rPr>
          <w:i/>
          <w:iCs/>
          <w:lang w:val="ru"/>
        </w:rPr>
        <w:t>«Грамотность в связанных с океаном вопросах – это компас, направляющий нас в устойчивое будущее. Он дает нам возможность понять, насколько высоки ставки, соединить все элементы воедино и принять осмысленные меры».</w:t>
      </w:r>
    </w:p>
    <w:p w14:paraId="76F7A3AC" w14:textId="77777777" w:rsidR="009E48BD" w:rsidRPr="00207EAC" w:rsidRDefault="009E48BD" w:rsidP="009E48BD">
      <w:pPr>
        <w:spacing w:after="240" w:line="276" w:lineRule="auto"/>
        <w:jc w:val="both"/>
        <w:rPr>
          <w:lang w:val="ru"/>
        </w:rPr>
      </w:pPr>
      <w:r>
        <w:rPr>
          <w:lang w:val="ru"/>
        </w:rPr>
        <w:t>— Питер Томсон, Специальный посланник Генерального секретаря ООН по океану</w:t>
      </w:r>
    </w:p>
    <w:p w14:paraId="0D699EB6" w14:textId="50961A35" w:rsidR="009E48BD" w:rsidRPr="00207EAC" w:rsidRDefault="009E48BD" w:rsidP="009E48BD">
      <w:pPr>
        <w:pStyle w:val="ListParagraph"/>
        <w:numPr>
          <w:ilvl w:val="0"/>
          <w:numId w:val="42"/>
        </w:numPr>
        <w:snapToGrid w:val="0"/>
        <w:spacing w:before="240" w:after="240"/>
        <w:ind w:left="0" w:firstLine="0"/>
        <w:contextualSpacing w:val="0"/>
        <w:rPr>
          <w:rFonts w:ascii="Arial" w:hAnsi="Arial" w:cs="Arial"/>
          <w:sz w:val="22"/>
          <w:szCs w:val="22"/>
          <w:lang w:val="ru"/>
        </w:rPr>
      </w:pPr>
      <w:r>
        <w:rPr>
          <w:rFonts w:ascii="Arial" w:hAnsi="Arial" w:cs="Arial"/>
          <w:sz w:val="22"/>
          <w:szCs w:val="22"/>
          <w:lang w:val="ru"/>
        </w:rPr>
        <w:t>Океан имеет основополагающее значение для жизни на Земле, стабильности климата, биоразнообразия и экономического процветания. Однако сегодня океан сталкивается с многочисленными угрозами, включая изменение климата, утрату биоразнообразия, загрязнение и неустойчивую эксплуатацию ресурсов. Решение этих проблем требует надежного научного понимания, научно-обоснованных инструментов, продуктов и действий для принятия решений в сочетании с широким информированием общественности, осознанной разработкой политики и комплексным изменением поведения. Грамотность в связанных с океаном вопросах при ее эффективном продвижении связывает между собой океанологию, процесс принятия решений и общественное понимание, способствуя осуществлению мер на основе знаний для устойчивости и сохранения океана.</w:t>
      </w:r>
    </w:p>
    <w:p w14:paraId="27FA582D" w14:textId="486EBB2C" w:rsidR="009E48BD" w:rsidRPr="00207EAC" w:rsidRDefault="009E48BD" w:rsidP="009E48BD">
      <w:pPr>
        <w:pStyle w:val="ListParagraph"/>
        <w:numPr>
          <w:ilvl w:val="0"/>
          <w:numId w:val="42"/>
        </w:numPr>
        <w:snapToGrid w:val="0"/>
        <w:spacing w:before="240" w:after="240"/>
        <w:ind w:left="0" w:firstLine="0"/>
        <w:contextualSpacing w:val="0"/>
        <w:rPr>
          <w:rFonts w:ascii="Arial" w:hAnsi="Arial" w:cs="Arial"/>
          <w:sz w:val="22"/>
          <w:szCs w:val="22"/>
          <w:lang w:val="ru"/>
        </w:rPr>
      </w:pPr>
      <w:r>
        <w:rPr>
          <w:rFonts w:ascii="Arial" w:hAnsi="Arial" w:cs="Arial"/>
          <w:sz w:val="22"/>
          <w:szCs w:val="22"/>
          <w:lang w:val="ru"/>
        </w:rPr>
        <w:t xml:space="preserve">С момент одобрения </w:t>
      </w:r>
      <w:hyperlink r:id="rId13" w:history="1">
        <w:r>
          <w:rPr>
            <w:rStyle w:val="Hyperlink"/>
            <w:rFonts w:ascii="Arial" w:hAnsi="Arial" w:cs="Arial"/>
            <w:i/>
            <w:iCs/>
            <w:sz w:val="22"/>
            <w:szCs w:val="22"/>
            <w:lang w:val="ru"/>
          </w:rPr>
          <w:t>Плана действий МОК по распространению знаний об океане (2018–2021 гг.)</w:t>
        </w:r>
      </w:hyperlink>
      <w:r>
        <w:rPr>
          <w:rFonts w:ascii="Arial" w:hAnsi="Arial" w:cs="Arial"/>
          <w:sz w:val="22"/>
          <w:szCs w:val="22"/>
          <w:lang w:val="ru"/>
        </w:rPr>
        <w:t xml:space="preserve"> усилия, направленные на повышение грамотности в связанных с океаном вопросах, значительно расшились и вышли за рамки формального образовательного контекста, охватив различные точки зрения, способствуя более глобальному восстановлению взаимоотношений общества и океана. Такое развитие отражает более глубокое признание критически важной роли океана в социальном, культурном и экономическом масштабе, подчеркивая потребность в обновленных стратегиях и структурах. Оно также отражено в белой книге Десятилетия ООН, посвященного науке об океане в интересах устойчивого развития до 2030 года, по приоритетной задаче 10: </w:t>
      </w:r>
      <w:hyperlink r:id="rId14" w:history="1">
        <w:r>
          <w:rPr>
            <w:rStyle w:val="Hyperlink"/>
            <w:rFonts w:ascii="Arial" w:hAnsi="Arial" w:cs="Arial"/>
            <w:i/>
            <w:iCs/>
            <w:sz w:val="22"/>
            <w:szCs w:val="22"/>
            <w:lang w:val="ru"/>
          </w:rPr>
          <w:t>«Восстановление взаимоотношений общества и океана»</w:t>
        </w:r>
      </w:hyperlink>
      <w:r>
        <w:rPr>
          <w:rFonts w:ascii="Arial" w:hAnsi="Arial" w:cs="Arial"/>
          <w:sz w:val="22"/>
          <w:szCs w:val="22"/>
          <w:lang w:val="ru"/>
        </w:rPr>
        <w:t>.</w:t>
      </w:r>
    </w:p>
    <w:p w14:paraId="4A1588B2" w14:textId="5E713F31" w:rsidR="009E48BD" w:rsidRPr="00207EAC" w:rsidRDefault="009E48BD" w:rsidP="009E48BD">
      <w:pPr>
        <w:pStyle w:val="ListParagraph"/>
        <w:numPr>
          <w:ilvl w:val="0"/>
          <w:numId w:val="42"/>
        </w:numPr>
        <w:snapToGrid w:val="0"/>
        <w:spacing w:before="240" w:after="240"/>
        <w:ind w:left="0" w:firstLine="0"/>
        <w:contextualSpacing w:val="0"/>
        <w:rPr>
          <w:rFonts w:ascii="Arial" w:hAnsi="Arial" w:cs="Arial"/>
          <w:sz w:val="22"/>
          <w:szCs w:val="22"/>
          <w:lang w:val="ru"/>
        </w:rPr>
      </w:pPr>
      <w:r>
        <w:rPr>
          <w:rFonts w:ascii="Arial" w:hAnsi="Arial" w:cs="Arial"/>
          <w:sz w:val="22"/>
          <w:szCs w:val="22"/>
          <w:lang w:val="ru"/>
        </w:rPr>
        <w:t xml:space="preserve">Группа экспертов по распространению знаний об океане была учреждена ЮНЕСКО-МОК решением Ассамблеи МОК A-31/3.5.4 в 2021 году. Этот междисциплинарный и многосторонний орган играет важную роль в руководстве реализацией, координацией и развитием инициатив по распространению знаний об океане на мировом и региональном уровне как в рамках МОК, так и в более широком масштабе. Их опыт и экспертные знания обеспечили ключевое понимание эффективных методик, взаимодействия с заинтересованными сторонами, инновационных подходов к тому, чтобы сделать науку об океане доступной и применимой на практике. В этом контексте Группа оказала техническую поддержку в создании проекта «Плана действий МОК по распространению знаний об океане на 2026–2030 гг.», основанного как на оценке прогресса, достигнутого в отношении приоритетов Плана действий МОК по распространению знаний об океане на 2018–2021 гг., так и на мероприятиях, разработанных в рамках Десятилетия ООН, посвященного науке об океане в интересах устойчивого развития. </w:t>
      </w:r>
    </w:p>
    <w:p w14:paraId="3729E00B" w14:textId="22A39965" w:rsidR="009E48BD" w:rsidRPr="00207EAC" w:rsidRDefault="009E48BD" w:rsidP="009E48BD">
      <w:pPr>
        <w:pStyle w:val="ListParagraph"/>
        <w:numPr>
          <w:ilvl w:val="0"/>
          <w:numId w:val="42"/>
        </w:numPr>
        <w:snapToGrid w:val="0"/>
        <w:spacing w:before="240" w:after="240"/>
        <w:ind w:left="0" w:firstLine="0"/>
        <w:contextualSpacing w:val="0"/>
        <w:rPr>
          <w:rFonts w:ascii="Arial" w:hAnsi="Arial" w:cs="Arial"/>
          <w:sz w:val="22"/>
          <w:szCs w:val="22"/>
          <w:lang w:val="ru"/>
        </w:rPr>
      </w:pPr>
      <w:r>
        <w:rPr>
          <w:rFonts w:ascii="Arial" w:hAnsi="Arial" w:cs="Arial"/>
          <w:sz w:val="22"/>
          <w:szCs w:val="22"/>
          <w:lang w:val="ru"/>
        </w:rPr>
        <w:t xml:space="preserve">В частности, значительный прогресс был достигнут в области развития потенциала учителей и преподавателей и прочих профессиональных групп, таких как государственный и частный секторы, журналисты и специалисты по коммуникации, архитекторы и градостроители. Эти учебные курсы были разработаны и выложены в открытый доступ в сотрудничестве с Глобальной академией «Океан-Инструктор» (ГАОИ). Кроме того, были созданы многосторонние партнерства, например, с частным сектором, СМИ и информационными организациями в целях расширения охвата и видимости грамотности в связанных с океаном вопросах в различных контекстах и ​​на различных уровнях. Это было достигнуто путем организации параллельных мероприятий по распространению знаний об океане в рамках основных мероприятий, связанных с океаном, таких как Европейский день моря, Всемирный саммит по океанам, Вторая конференция ООН по океану и Конференция ООН по водным ресурсам. Кроме того, была разработана глобальная база данных ресурсов по распространению знаний об океане. Она представлена на разных языках и доступна на </w:t>
      </w:r>
      <w:r>
        <w:rPr>
          <w:rFonts w:ascii="Arial" w:hAnsi="Arial" w:cs="Arial"/>
          <w:sz w:val="22"/>
          <w:szCs w:val="22"/>
          <w:lang w:val="ru"/>
        </w:rPr>
        <w:lastRenderedPageBreak/>
        <w:t>портале «Грамотность в связанных с океаном вопросах». Сотрудничество с национальными группами и сетями экспертов по распространению знаний об океане было расширено также в контексте программы «Грамотность в связанных с океаном вопросах для всех» Десятилетия науки об океане. Сотрудничество с секторами образования и науки ЮНЕСКО продвигалось посредством Межсекторальной программы МП2 по экологическому просвещению, направленной ​​на содействие учебной и преподавательской деятельности в сфере изменения климата и окружающей среды на объектах ЮНЕСКО, взаимодействие школ и учителей с местными общинами, а также сбор и распространение данных и политических усилий по обучению в области изменения климата. И наконец, мобилизация ресурсов была усилена путем создания партнерств с различными типами доноров.</w:t>
      </w:r>
    </w:p>
    <w:p w14:paraId="5C84D57E" w14:textId="422C18F2" w:rsidR="009E48BD" w:rsidRPr="00207EAC" w:rsidRDefault="009E48BD" w:rsidP="009E48BD">
      <w:pPr>
        <w:pStyle w:val="ListParagraph"/>
        <w:numPr>
          <w:ilvl w:val="0"/>
          <w:numId w:val="42"/>
        </w:numPr>
        <w:snapToGrid w:val="0"/>
        <w:spacing w:before="240" w:after="240"/>
        <w:ind w:left="0" w:firstLine="0"/>
        <w:contextualSpacing w:val="0"/>
        <w:rPr>
          <w:rFonts w:ascii="Arial" w:hAnsi="Arial" w:cs="Arial"/>
          <w:sz w:val="22"/>
          <w:szCs w:val="22"/>
          <w:lang w:val="ru"/>
        </w:rPr>
      </w:pPr>
      <w:r>
        <w:rPr>
          <w:rFonts w:ascii="Arial" w:hAnsi="Arial" w:cs="Arial"/>
          <w:sz w:val="22"/>
          <w:szCs w:val="22"/>
          <w:lang w:val="ru"/>
        </w:rPr>
        <w:t xml:space="preserve">Проект Плана действий по распространению знаний об океане на 2026–2030 гг., согласованный со </w:t>
      </w:r>
      <w:hyperlink r:id="rId15" w:history="1">
        <w:r>
          <w:rPr>
            <w:rStyle w:val="Hyperlink"/>
            <w:rFonts w:ascii="Arial" w:hAnsi="Arial" w:cs="Arial"/>
            <w:i/>
            <w:iCs/>
            <w:sz w:val="22"/>
            <w:szCs w:val="22"/>
            <w:lang w:val="ru"/>
          </w:rPr>
          <w:t>Среднесрочной стратегией МОК на 2022-2029 гг.</w:t>
        </w:r>
      </w:hyperlink>
      <w:r>
        <w:rPr>
          <w:rFonts w:ascii="Arial" w:hAnsi="Arial" w:cs="Arial"/>
          <w:sz w:val="22"/>
          <w:szCs w:val="22"/>
          <w:lang w:val="ru"/>
        </w:rPr>
        <w:t>, способствует достижению государствами-членами целей высокого уровня, содержащихся в стратегии, улучшая понимание роли океана и услуг и обеспечивая лучшую связь между наукой, политикой и обществом. Основная цель данного Плана действий заключается в обеспечении практического применения научных знаний об океане, способствующего общественной поддержке устойчивого будущего океана.</w:t>
      </w:r>
    </w:p>
    <w:p w14:paraId="6EFF3842" w14:textId="0C81E18A" w:rsidR="009E48BD" w:rsidRPr="00207EAC" w:rsidRDefault="009E48BD" w:rsidP="009E48BD">
      <w:pPr>
        <w:pStyle w:val="ListParagraph"/>
        <w:numPr>
          <w:ilvl w:val="0"/>
          <w:numId w:val="42"/>
        </w:numPr>
        <w:snapToGrid w:val="0"/>
        <w:spacing w:before="240" w:after="240"/>
        <w:ind w:left="0" w:firstLine="0"/>
        <w:contextualSpacing w:val="0"/>
        <w:rPr>
          <w:rFonts w:ascii="Arial" w:hAnsi="Arial" w:cs="Arial"/>
          <w:sz w:val="22"/>
          <w:szCs w:val="22"/>
          <w:lang w:val="ru"/>
        </w:rPr>
      </w:pPr>
      <w:r>
        <w:rPr>
          <w:rFonts w:ascii="Arial" w:hAnsi="Arial" w:cs="Arial"/>
          <w:sz w:val="22"/>
          <w:szCs w:val="22"/>
          <w:lang w:val="ru"/>
        </w:rPr>
        <w:t>В Плане действий на 2026–2030 гг. упор сделан на деятельность, осуществляемую в рамках структур формального, неформального и непрерывного обучения, с акцентом на образование, опыт и повышение осведомленности в целях укрепления глобального понимания и управления экосистемами океана. Посредством сотрудничества с другими секциями, программами и инициативами МОК, такими как Глобальная система наблюдений за океаном (ГСНО), Программа международного обмена океанографическими данными и информацией (МООД), Глобальная академия «Океан-Инструктор» и региональные подкомиссии МОК, а также путем использования Бюро по координации Десятилетия в отношении приоритетной задачи 10 Десятилетия науки об океане, данный План действий направлен на содействие осуществлению согласованного подхода, усиливающего совокупное воздействие научных результатов и услуг МОК. Это означает признание разнообразия культурных точек зрения и традиционных знаний об экологии, а также приятие этих систем знаний как неотъемлемой части программ и структур по повышению грамотности в связанных с океаном вопросах. Такой инклюзивный подход обеспечивает уважение и поддержку коренного населения и местных общин и признает их роль в повышении эффективности управления океаном и его сохранения.</w:t>
      </w:r>
    </w:p>
    <w:p w14:paraId="501E34FC" w14:textId="23ED2E64" w:rsidR="009E48BD" w:rsidRPr="00207EAC" w:rsidRDefault="009E48BD" w:rsidP="009E48BD">
      <w:pPr>
        <w:pStyle w:val="ListParagraph"/>
        <w:numPr>
          <w:ilvl w:val="0"/>
          <w:numId w:val="42"/>
        </w:numPr>
        <w:snapToGrid w:val="0"/>
        <w:spacing w:before="240" w:after="240"/>
        <w:ind w:left="0" w:firstLine="0"/>
        <w:contextualSpacing w:val="0"/>
        <w:rPr>
          <w:rFonts w:ascii="Arial" w:hAnsi="Arial" w:cs="Arial"/>
          <w:sz w:val="22"/>
          <w:szCs w:val="22"/>
          <w:lang w:val="ru"/>
        </w:rPr>
      </w:pPr>
      <w:r>
        <w:rPr>
          <w:rFonts w:ascii="Arial" w:hAnsi="Arial" w:cs="Arial"/>
          <w:sz w:val="22"/>
          <w:szCs w:val="22"/>
          <w:lang w:val="ru"/>
        </w:rPr>
        <w:t>Обновленный План действий МОК признает потребность в устойчивом привлечении заинтересованных сторон, развитии доступных и инклюзивных образовательных ресурсов на основе поведенческой науки, стратегиях коммуникации и оценке воздействия программ и мероприятий по повышению грамотности в связанных с океаном вопросах. Инструменты, продукты и результаты этих объединенных усилий обеспечат государствам-членам инструменты и потенциал, необходимые для достижения устойчивого и научно-обоснованного управления океаном, и, в конечном итоге, внесут свой вклад в перспективное видение текущей Среднесрочной стратегии МОК (2022–2029 гг.): объединение правительств и научного сообщества для достижения «Океана, который нам нужен, в интересах будущего, которого мы хотим».</w:t>
      </w:r>
    </w:p>
    <w:p w14:paraId="57C26628" w14:textId="2A78D7BA" w:rsidR="000B7E2A" w:rsidRPr="00207EAC" w:rsidRDefault="009E48BD" w:rsidP="009E48BD">
      <w:pPr>
        <w:pStyle w:val="ListParagraph"/>
        <w:numPr>
          <w:ilvl w:val="0"/>
          <w:numId w:val="42"/>
        </w:numPr>
        <w:snapToGrid w:val="0"/>
        <w:spacing w:before="240" w:after="240"/>
        <w:ind w:left="0" w:firstLine="0"/>
        <w:contextualSpacing w:val="0"/>
        <w:rPr>
          <w:rFonts w:ascii="Arial" w:hAnsi="Arial" w:cs="Arial"/>
          <w:sz w:val="22"/>
          <w:szCs w:val="22"/>
          <w:lang w:val="ru"/>
        </w:rPr>
      </w:pPr>
      <w:r>
        <w:rPr>
          <w:rFonts w:ascii="Arial" w:hAnsi="Arial" w:cs="Arial"/>
          <w:sz w:val="22"/>
          <w:szCs w:val="22"/>
          <w:lang w:val="ru"/>
        </w:rPr>
        <w:t>Руководствуясь заявлением о перспективном видении, План действий подчеркивает потребность в международном сотрудничестве, обмене передовым опытом и продвижении надежных партнерств, в частности, для обеспечения использования знаний об океане в полной мере в целях продвижения и, в конечном итоге, достижения устойчивости океана в долгосрочной перспективе.</w:t>
      </w:r>
    </w:p>
    <w:p w14:paraId="1E8E70D0" w14:textId="4C76A5A2" w:rsidR="00137BED" w:rsidRPr="00207EAC" w:rsidRDefault="003B3CAC" w:rsidP="00AA2CD5">
      <w:pPr>
        <w:spacing w:after="240"/>
        <w:jc w:val="both"/>
        <w:rPr>
          <w:b/>
          <w:lang w:val="ru"/>
        </w:rPr>
      </w:pPr>
      <w:r>
        <w:rPr>
          <w:b/>
          <w:bCs/>
          <w:lang w:val="ru"/>
        </w:rPr>
        <w:t>Заявление о перспективном видении</w:t>
      </w:r>
    </w:p>
    <w:p w14:paraId="27C89890" w14:textId="77777777" w:rsidR="003B3CAC" w:rsidRPr="00207EAC" w:rsidRDefault="003B3CAC" w:rsidP="003B3CAC">
      <w:pPr>
        <w:spacing w:before="240" w:after="240" w:line="276" w:lineRule="auto"/>
        <w:rPr>
          <w:i/>
          <w:lang w:val="ru"/>
        </w:rPr>
      </w:pPr>
      <w:r>
        <w:rPr>
          <w:i/>
          <w:iCs/>
          <w:lang w:val="ru"/>
        </w:rPr>
        <w:lastRenderedPageBreak/>
        <w:t>«Посредством международного сотрудничества, обмена передовым опытом и укрепления партнерств ЮНЕСКО-МОК дает государствам-членам возможность повышать грамотность в связанных с океаном вопросах путем преобразования науки об океане в доступные знания, способствующие устойчивой деятельности и руководству в интересах океана, который нам нужен».</w:t>
      </w:r>
    </w:p>
    <w:p w14:paraId="24C14907" w14:textId="520A8ABB" w:rsidR="003B3CAC" w:rsidRPr="00207EAC" w:rsidRDefault="00C55528" w:rsidP="00C55528">
      <w:pPr>
        <w:pStyle w:val="ListParagraph"/>
        <w:numPr>
          <w:ilvl w:val="0"/>
          <w:numId w:val="42"/>
        </w:numPr>
        <w:snapToGrid w:val="0"/>
        <w:spacing w:before="240" w:after="240"/>
        <w:ind w:left="0" w:firstLine="0"/>
        <w:contextualSpacing w:val="0"/>
        <w:rPr>
          <w:rFonts w:ascii="Arial" w:hAnsi="Arial" w:cs="Arial"/>
          <w:sz w:val="22"/>
          <w:szCs w:val="22"/>
          <w:lang w:val="ru"/>
        </w:rPr>
      </w:pPr>
      <w:r>
        <w:rPr>
          <w:rFonts w:ascii="Arial" w:hAnsi="Arial" w:cs="Arial"/>
          <w:sz w:val="22"/>
          <w:szCs w:val="22"/>
          <w:lang w:val="ru"/>
        </w:rPr>
        <w:t xml:space="preserve">В таблице ниже представлен перечень приоритетов, областей деятельности и собственно деятельности. Соответствие </w:t>
      </w:r>
      <w:hyperlink r:id="rId16" w:history="1">
        <w:r>
          <w:rPr>
            <w:rStyle w:val="Hyperlink"/>
            <w:rFonts w:ascii="Arial" w:hAnsi="Arial" w:cs="Arial"/>
            <w:i/>
            <w:iCs/>
            <w:sz w:val="22"/>
            <w:szCs w:val="22"/>
            <w:lang w:val="ru"/>
          </w:rPr>
          <w:t>Стратегии МОК в области развития потенциала на 2023-2030 гг.</w:t>
        </w:r>
      </w:hyperlink>
      <w:r>
        <w:rPr>
          <w:rFonts w:ascii="Arial" w:hAnsi="Arial" w:cs="Arial"/>
          <w:sz w:val="22"/>
          <w:szCs w:val="22"/>
          <w:lang w:val="ru"/>
        </w:rPr>
        <w:t xml:space="preserve">, а также </w:t>
      </w:r>
      <w:hyperlink r:id="rId17" w:history="1">
        <w:r>
          <w:rPr>
            <w:rStyle w:val="Hyperlink"/>
            <w:rFonts w:ascii="Arial" w:hAnsi="Arial" w:cs="Arial"/>
            <w:i/>
            <w:iCs/>
            <w:sz w:val="22"/>
            <w:szCs w:val="22"/>
            <w:lang w:val="ru"/>
          </w:rPr>
          <w:t>Стратегии коммуникации и информационно-просветительской деятельности МОК для управления данными и информацией</w:t>
        </w:r>
      </w:hyperlink>
      <w:r>
        <w:rPr>
          <w:rFonts w:ascii="Arial" w:hAnsi="Arial" w:cs="Arial"/>
          <w:sz w:val="22"/>
          <w:szCs w:val="22"/>
          <w:lang w:val="ru"/>
        </w:rPr>
        <w:t xml:space="preserve"> будет соблюдено.</w:t>
      </w:r>
    </w:p>
    <w:p w14:paraId="3FC07FF9" w14:textId="77777777" w:rsidR="00086969" w:rsidRDefault="00086969" w:rsidP="00086969">
      <w:pPr>
        <w:pStyle w:val="Heading3"/>
      </w:pPr>
      <w:r>
        <w:rPr>
          <w:lang w:val="ru"/>
        </w:rPr>
        <w:t>Финансовые и административные последствия</w:t>
      </w:r>
    </w:p>
    <w:p w14:paraId="56FA4919" w14:textId="77777777" w:rsidR="00086969" w:rsidRPr="00207EAC" w:rsidRDefault="00086969" w:rsidP="00086969">
      <w:pPr>
        <w:pStyle w:val="ListParagraph"/>
        <w:numPr>
          <w:ilvl w:val="0"/>
          <w:numId w:val="42"/>
        </w:numPr>
        <w:snapToGrid w:val="0"/>
        <w:spacing w:before="240" w:after="240"/>
        <w:ind w:left="0" w:firstLine="0"/>
        <w:contextualSpacing w:val="0"/>
        <w:rPr>
          <w:rFonts w:ascii="Arial" w:hAnsi="Arial" w:cs="Arial"/>
          <w:sz w:val="22"/>
          <w:szCs w:val="22"/>
          <w:lang w:val="ru"/>
        </w:rPr>
      </w:pPr>
      <w:r>
        <w:rPr>
          <w:rFonts w:ascii="Arial" w:hAnsi="Arial" w:cs="Arial"/>
          <w:sz w:val="22"/>
          <w:szCs w:val="22"/>
          <w:lang w:val="ru"/>
        </w:rPr>
        <w:t>Деятельность по распространению знаний об океане финансируется преимущественно за счет добровольных пожертвований. Тем не менее, необходимо определить финансирование из регулярного бюджета в рамках вклада МОК в Межсекторальную программу 2 (МП2) по экологическому просвещению.</w:t>
      </w:r>
    </w:p>
    <w:p w14:paraId="075E8B01" w14:textId="24A2D727" w:rsidR="00C55528" w:rsidRPr="00207EAC" w:rsidRDefault="00C55528">
      <w:pPr>
        <w:rPr>
          <w:lang w:val="ru"/>
        </w:rPr>
      </w:pPr>
    </w:p>
    <w:tbl>
      <w:tblPr>
        <w:tblW w:w="9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3075"/>
        <w:gridCol w:w="3030"/>
      </w:tblGrid>
      <w:tr w:rsidR="00C55528" w:rsidRPr="00C55528" w14:paraId="5BB9453E" w14:textId="77777777" w:rsidTr="00C55528">
        <w:trPr>
          <w:tblHeader/>
        </w:trPr>
        <w:tc>
          <w:tcPr>
            <w:tcW w:w="327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0C81E" w14:textId="6556FF14" w:rsidR="00C55528" w:rsidRPr="00207EAC" w:rsidRDefault="00C55528" w:rsidP="00980720">
            <w:pPr>
              <w:widowControl w:val="0"/>
              <w:spacing w:after="120"/>
              <w:jc w:val="center"/>
              <w:rPr>
                <w:rFonts w:cs="Arial"/>
                <w:b/>
                <w:szCs w:val="22"/>
                <w:lang w:val="ru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 xml:space="preserve">Обновленный приоритет в сфере </w:t>
            </w:r>
            <w:r>
              <w:rPr>
                <w:rFonts w:cs="Arial"/>
                <w:szCs w:val="22"/>
                <w:lang w:val="ru"/>
              </w:rPr>
              <w:br/>
            </w:r>
            <w:r>
              <w:rPr>
                <w:rFonts w:cs="Arial"/>
                <w:b/>
                <w:bCs/>
                <w:szCs w:val="22"/>
                <w:lang w:val="ru"/>
              </w:rPr>
              <w:t>распространения знаний об океане</w:t>
            </w:r>
          </w:p>
        </w:tc>
        <w:tc>
          <w:tcPr>
            <w:tcW w:w="307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D700" w14:textId="77777777" w:rsidR="00C55528" w:rsidRPr="00C55528" w:rsidRDefault="00C55528" w:rsidP="00C55528">
            <w:pPr>
              <w:widowControl w:val="0"/>
              <w:spacing w:after="1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Область деятельности</w:t>
            </w:r>
          </w:p>
        </w:tc>
        <w:tc>
          <w:tcPr>
            <w:tcW w:w="303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A0C5D" w14:textId="77777777" w:rsidR="00C55528" w:rsidRPr="00C55528" w:rsidRDefault="00C55528" w:rsidP="00C55528">
            <w:pPr>
              <w:widowControl w:val="0"/>
              <w:spacing w:after="1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Деятельность</w:t>
            </w:r>
          </w:p>
        </w:tc>
      </w:tr>
      <w:tr w:rsidR="004D4543" w:rsidRPr="00C55528" w14:paraId="65124EA4" w14:textId="77777777" w:rsidTr="00086969">
        <w:trPr>
          <w:trHeight w:val="4976"/>
        </w:trPr>
        <w:tc>
          <w:tcPr>
            <w:tcW w:w="32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24638" w14:textId="77777777" w:rsidR="004D4543" w:rsidRPr="00C55528" w:rsidRDefault="004D4543" w:rsidP="00C55528">
            <w:pPr>
              <w:widowControl w:val="0"/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  <w:highlight w:val="white"/>
                <w:lang w:val="ru"/>
              </w:rPr>
              <w:t xml:space="preserve">1. </w:t>
            </w:r>
            <w:r>
              <w:rPr>
                <w:rFonts w:cs="Arial"/>
                <w:b/>
                <w:bCs/>
                <w:szCs w:val="22"/>
                <w:lang w:val="ru"/>
              </w:rPr>
              <w:t>Включение концепций наук об океане в учебные программы образовательных систем с целью повышения глобальной грамотности в связанных с океаном вопросах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54BE8" w14:textId="6067193D" w:rsidR="004D4543" w:rsidRPr="00C55528" w:rsidRDefault="004D4543" w:rsidP="00C55528">
            <w:pPr>
              <w:widowControl w:val="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1.1 Программы формального, неформального, неформатного и непрерывного обучения на всех образовательных уровнях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DFE8A" w14:textId="77777777" w:rsidR="004D4543" w:rsidRDefault="004D4543" w:rsidP="00C55528">
            <w:pPr>
              <w:widowControl w:val="0"/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 xml:space="preserve">1.1.1 </w:t>
            </w:r>
            <w:r>
              <w:rPr>
                <w:rFonts w:cs="Arial"/>
                <w:szCs w:val="22"/>
                <w:lang w:val="ru"/>
              </w:rPr>
              <w:t xml:space="preserve">Поощрение членства школ государств-членов в сети «Голубых школ» для содействия обмену передовыми методами между странами и реализации учебных программ, связанных с океаном и согласованных с национальными стратегиями. </w:t>
            </w:r>
          </w:p>
          <w:p w14:paraId="031AC655" w14:textId="77777777" w:rsidR="004D4543" w:rsidRPr="00C55528" w:rsidRDefault="004D4543" w:rsidP="00C55528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 xml:space="preserve">1.1.2 </w:t>
            </w:r>
            <w:r>
              <w:rPr>
                <w:rFonts w:cs="Arial"/>
                <w:szCs w:val="22"/>
                <w:lang w:val="ru"/>
              </w:rPr>
              <w:t>Поощрение разработки региональных образовательных материалов, отражающих местные морские системы, проблемы и культурные связи с океаном.</w:t>
            </w:r>
          </w:p>
          <w:p w14:paraId="7670EBC8" w14:textId="6207E7E8" w:rsidR="004D4543" w:rsidRPr="00C55528" w:rsidRDefault="004D4543" w:rsidP="00086969">
            <w:pPr>
              <w:widowControl w:val="0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1.1.3 Усиление развития потенциала учителей и преподавателей.</w:t>
            </w:r>
          </w:p>
        </w:tc>
      </w:tr>
      <w:tr w:rsidR="004D4543" w:rsidRPr="00C55528" w14:paraId="6212EC5A" w14:textId="77777777" w:rsidTr="00387911">
        <w:trPr>
          <w:trHeight w:val="2540"/>
        </w:trPr>
        <w:tc>
          <w:tcPr>
            <w:tcW w:w="32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E2268" w14:textId="77777777" w:rsidR="004D4543" w:rsidRPr="00C55528" w:rsidRDefault="004D4543" w:rsidP="00C55528">
            <w:pPr>
              <w:widowControl w:val="0"/>
              <w:spacing w:after="120"/>
              <w:rPr>
                <w:rFonts w:cs="Arial"/>
                <w:b/>
                <w:szCs w:val="22"/>
                <w:highlight w:val="white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AAC65" w14:textId="77777777" w:rsidR="004D4543" w:rsidRPr="00C55528" w:rsidRDefault="004D4543" w:rsidP="004D4543">
            <w:pPr>
              <w:widowControl w:val="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1.2 Внутридисциплинарное и междисциплинарное сотрудничество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4F56C" w14:textId="77777777" w:rsidR="004D4543" w:rsidRPr="00C55528" w:rsidRDefault="004D4543" w:rsidP="004D4543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1.2.1 Укрепление партнерских связей и сотрудничества с иными секторами ЮНЕСКО, работающими по различным дисциплинам.</w:t>
            </w:r>
          </w:p>
          <w:p w14:paraId="6D549CDE" w14:textId="77777777" w:rsidR="004D4543" w:rsidRPr="00C55528" w:rsidRDefault="004D4543" w:rsidP="004D4543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1.2.2 Продвижение ценности различных дисциплин, таких как искусство и социальные науки, для образования в области науки об океане.</w:t>
            </w:r>
          </w:p>
        </w:tc>
      </w:tr>
      <w:tr w:rsidR="00C55528" w:rsidRPr="00C55528" w14:paraId="59169C9F" w14:textId="77777777" w:rsidTr="00387911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FD481" w14:textId="77777777" w:rsidR="00C55528" w:rsidRPr="00C55528" w:rsidRDefault="00C55528" w:rsidP="00C55528">
            <w:pPr>
              <w:widowControl w:val="0"/>
              <w:spacing w:after="120"/>
              <w:rPr>
                <w:rFonts w:cs="Arial"/>
                <w:b/>
                <w:szCs w:val="22"/>
                <w:highlight w:val="white"/>
              </w:rPr>
            </w:pPr>
            <w:r>
              <w:rPr>
                <w:rFonts w:cs="Arial"/>
                <w:b/>
                <w:bCs/>
                <w:szCs w:val="22"/>
                <w:highlight w:val="white"/>
                <w:lang w:val="ru"/>
              </w:rPr>
              <w:t xml:space="preserve">2. </w:t>
            </w:r>
            <w:r>
              <w:rPr>
                <w:rFonts w:cs="Arial"/>
                <w:b/>
                <w:bCs/>
                <w:szCs w:val="22"/>
                <w:lang w:val="ru"/>
              </w:rPr>
              <w:t xml:space="preserve">Расширение диалога и сотрудничества путем привлечения различных заинтересованных сторон к обсуждению вопросов повышения грамотности в связанных с океаном вопросах </w:t>
            </w:r>
          </w:p>
          <w:p w14:paraId="1968140F" w14:textId="77777777" w:rsidR="00C55528" w:rsidRPr="00C55528" w:rsidRDefault="00C55528" w:rsidP="00C55528">
            <w:pPr>
              <w:widowControl w:val="0"/>
              <w:spacing w:after="120"/>
              <w:rPr>
                <w:rFonts w:cs="Arial"/>
                <w:szCs w:val="22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649F5" w14:textId="77777777" w:rsidR="00C55528" w:rsidRPr="00C55528" w:rsidRDefault="00C55528" w:rsidP="00C55528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2.1 Инклюзивные и междисциплинарные взаимоотношения с заинтересованными сторонами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012EB" w14:textId="77777777" w:rsidR="00C55528" w:rsidRPr="00C55528" w:rsidRDefault="00C55528" w:rsidP="00C55528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2.1.1 Создание региональных и глобальных платформ и сетей для межсекторального обмена и совместной разработки инициатив по повышению грамотности в связанных с океаном вопросах.</w:t>
            </w:r>
          </w:p>
          <w:p w14:paraId="3242B62F" w14:textId="77777777" w:rsidR="00C55528" w:rsidRPr="00C55528" w:rsidRDefault="00C55528" w:rsidP="00C55528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 xml:space="preserve">2.1.2 </w:t>
            </w:r>
            <w:r>
              <w:rPr>
                <w:rFonts w:cs="Arial"/>
                <w:szCs w:val="22"/>
                <w:lang w:val="ru"/>
              </w:rPr>
              <w:t>Укрепление сотрудничества с региональными подкомиссиями МОК в целях поддержки региональной координации деятельности по повышению грамотности в связанных с океаном вопросах и обмена знаниями и ресурсами.</w:t>
            </w:r>
          </w:p>
          <w:p w14:paraId="445409BB" w14:textId="59FC495D" w:rsidR="00C55528" w:rsidRPr="00C55528" w:rsidRDefault="00C55528" w:rsidP="00C55528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2.1.3 Использование основных очных мероприятий и мероприятий в режиме онлайн, связанных с океаном, для расширения сферы охвата грамотностью в связанных с океаном вопросах на новые потенциальные заинтересованные стороны.</w:t>
            </w:r>
          </w:p>
          <w:p w14:paraId="670630E9" w14:textId="77777777" w:rsidR="00C55528" w:rsidRPr="00C55528" w:rsidRDefault="00C55528" w:rsidP="00C55528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 xml:space="preserve">2.1.4 </w:t>
            </w:r>
            <w:r>
              <w:rPr>
                <w:rFonts w:cs="Arial"/>
                <w:szCs w:val="22"/>
                <w:lang w:val="ru"/>
              </w:rPr>
              <w:t xml:space="preserve">Совместное планирование и </w:t>
            </w:r>
            <w:r>
              <w:rPr>
                <w:rFonts w:cs="Arial"/>
                <w:szCs w:val="22"/>
                <w:lang w:val="ru"/>
              </w:rPr>
              <w:lastRenderedPageBreak/>
              <w:t xml:space="preserve">совместное использование возможностей по повышению грамотности в связанных с океаном вопросах с различными участниками и заинтересованными сторонами. </w:t>
            </w:r>
          </w:p>
          <w:p w14:paraId="738F3CA6" w14:textId="77777777" w:rsidR="00C55528" w:rsidRPr="00C55528" w:rsidRDefault="00C55528" w:rsidP="00C55528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 xml:space="preserve">2.1.5 Предоставление цифрового пространства для непрерывного диалога с заинтересованными сторонами. </w:t>
            </w:r>
          </w:p>
        </w:tc>
      </w:tr>
      <w:tr w:rsidR="004D4543" w:rsidRPr="00C55528" w14:paraId="64CE77CF" w14:textId="77777777" w:rsidTr="00086969">
        <w:trPr>
          <w:trHeight w:val="781"/>
        </w:trPr>
        <w:tc>
          <w:tcPr>
            <w:tcW w:w="32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6464" w14:textId="77777777" w:rsidR="004D4543" w:rsidRPr="00C55528" w:rsidRDefault="004D4543" w:rsidP="00C55528">
            <w:pPr>
              <w:widowControl w:val="0"/>
              <w:spacing w:after="120"/>
              <w:rPr>
                <w:rFonts w:cs="Arial"/>
                <w:b/>
                <w:szCs w:val="22"/>
                <w:highlight w:val="white"/>
              </w:rPr>
            </w:pPr>
            <w:r>
              <w:rPr>
                <w:rFonts w:cs="Arial"/>
                <w:b/>
                <w:bCs/>
                <w:szCs w:val="22"/>
                <w:highlight w:val="white"/>
                <w:lang w:val="ru"/>
              </w:rPr>
              <w:lastRenderedPageBreak/>
              <w:t>3. Обеспечение доступных и инклюзивных ресурсов по грамотности в связанных с океаном вопросах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968E3" w14:textId="34E00D11" w:rsidR="004D4543" w:rsidRPr="004D4543" w:rsidRDefault="004D4543" w:rsidP="00C55528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3.1 Оценка существующих материалов по повышению грамотности в связанных с океаном вопросах во всем мире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29081" w14:textId="66EE7C21" w:rsidR="004D4543" w:rsidRPr="00C55528" w:rsidRDefault="004D4543" w:rsidP="00086969">
            <w:pPr>
              <w:widowControl w:val="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 xml:space="preserve">3.1.1 </w:t>
            </w:r>
            <w:r>
              <w:rPr>
                <w:rFonts w:cs="Arial"/>
                <w:szCs w:val="22"/>
                <w:lang w:val="ru"/>
              </w:rPr>
              <w:t>Составление и оценка глобального справочника ресурсов по повышению грамотности в связанных с океаном вопросах.</w:t>
            </w:r>
            <w:r>
              <w:rPr>
                <w:rFonts w:cs="Arial"/>
                <w:b/>
                <w:bCs/>
                <w:szCs w:val="22"/>
                <w:lang w:val="ru"/>
              </w:rPr>
              <w:t xml:space="preserve"> </w:t>
            </w:r>
          </w:p>
        </w:tc>
      </w:tr>
      <w:tr w:rsidR="004D4543" w:rsidRPr="00C55528" w14:paraId="45BACE90" w14:textId="77777777" w:rsidTr="00086969">
        <w:trPr>
          <w:trHeight w:val="1764"/>
        </w:trPr>
        <w:tc>
          <w:tcPr>
            <w:tcW w:w="32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0F42" w14:textId="77777777" w:rsidR="004D4543" w:rsidRPr="00C55528" w:rsidRDefault="004D4543" w:rsidP="00C55528">
            <w:pPr>
              <w:widowControl w:val="0"/>
              <w:spacing w:after="120"/>
              <w:rPr>
                <w:rFonts w:cs="Arial"/>
                <w:b/>
                <w:szCs w:val="22"/>
                <w:highlight w:val="white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42DAB" w14:textId="59BCAC6F" w:rsidR="004D4543" w:rsidRPr="00086969" w:rsidRDefault="004D4543" w:rsidP="004D4543">
            <w:pPr>
              <w:widowControl w:val="0"/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 xml:space="preserve">3.2 </w:t>
            </w:r>
            <w:r>
              <w:rPr>
                <w:rFonts w:cs="Arial"/>
                <w:szCs w:val="22"/>
                <w:lang w:val="ru"/>
              </w:rPr>
              <w:t>Разработка инклюзивных и доступных ресурсов по повышению грамотности в связанных с океаном вопросах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8D908" w14:textId="33218D96" w:rsidR="004D4543" w:rsidRPr="00C55528" w:rsidRDefault="004D4543" w:rsidP="00086969">
            <w:pPr>
              <w:widowControl w:val="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 xml:space="preserve">3.2.1 </w:t>
            </w:r>
            <w:r>
              <w:rPr>
                <w:rFonts w:cs="Arial"/>
                <w:szCs w:val="22"/>
                <w:lang w:val="ru"/>
              </w:rPr>
              <w:t>Создание ресурсов по повышению грамотности в связанных с океаном вопросах, учитывающих различные культурные подходы и различные целевые группы, включая социально незащищенные или недостаточно представленные группы.</w:t>
            </w:r>
          </w:p>
        </w:tc>
      </w:tr>
      <w:tr w:rsidR="004D4543" w:rsidRPr="00C55528" w14:paraId="1A06BF05" w14:textId="77777777" w:rsidTr="00387911">
        <w:trPr>
          <w:trHeight w:val="3550"/>
        </w:trPr>
        <w:tc>
          <w:tcPr>
            <w:tcW w:w="32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2DBC3" w14:textId="77777777" w:rsidR="004D4543" w:rsidRPr="00C55528" w:rsidRDefault="004D4543" w:rsidP="00C55528">
            <w:pPr>
              <w:widowControl w:val="0"/>
              <w:spacing w:after="120"/>
              <w:rPr>
                <w:rFonts w:cs="Arial"/>
                <w:b/>
                <w:szCs w:val="22"/>
                <w:highlight w:val="white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923F" w14:textId="77777777" w:rsidR="004D4543" w:rsidRPr="00C55528" w:rsidRDefault="004D4543" w:rsidP="004D4543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3.3 Распределение новых и существующих ресурсов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91CB4" w14:textId="77777777" w:rsidR="004D4543" w:rsidRPr="00C55528" w:rsidRDefault="004D4543" w:rsidP="004D4543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3.3.1 Размещение всех соответствующих ресурсов в одном интернет-центре.</w:t>
            </w:r>
          </w:p>
          <w:p w14:paraId="4B9F237F" w14:textId="77777777" w:rsidR="004D4543" w:rsidRPr="00C55528" w:rsidRDefault="004D4543" w:rsidP="004D4543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3.3.2 Поддержка эффективного использования этих ресурсов путем создания пилотных проектов и тестов.</w:t>
            </w:r>
          </w:p>
          <w:p w14:paraId="1F083C87" w14:textId="77777777" w:rsidR="004D4543" w:rsidRPr="00C55528" w:rsidRDefault="004D4543" w:rsidP="004D4543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 xml:space="preserve">3.3.3 </w:t>
            </w:r>
            <w:r>
              <w:rPr>
                <w:rFonts w:cs="Arial"/>
                <w:szCs w:val="22"/>
                <w:lang w:val="ru"/>
              </w:rPr>
              <w:t xml:space="preserve">Использование существующих сетей по повышению грамотности в связанных с океаном вопросах в целях создания пилотных проектов и </w:t>
            </w:r>
            <w:r>
              <w:rPr>
                <w:rFonts w:cs="Arial"/>
                <w:szCs w:val="22"/>
                <w:lang w:val="ru"/>
              </w:rPr>
              <w:lastRenderedPageBreak/>
              <w:t>тестов для максимизации распределения ресурсов.</w:t>
            </w:r>
          </w:p>
        </w:tc>
      </w:tr>
      <w:tr w:rsidR="004D4543" w:rsidRPr="00C55528" w14:paraId="6E57062D" w14:textId="77777777" w:rsidTr="004D4543">
        <w:trPr>
          <w:trHeight w:val="1870"/>
        </w:trPr>
        <w:tc>
          <w:tcPr>
            <w:tcW w:w="32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1CF5" w14:textId="77777777" w:rsidR="004D4543" w:rsidRPr="00C55528" w:rsidRDefault="004D4543" w:rsidP="00C55528">
            <w:pPr>
              <w:widowControl w:val="0"/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  <w:highlight w:val="white"/>
                <w:lang w:val="ru"/>
              </w:rPr>
              <w:lastRenderedPageBreak/>
              <w:t>4. Развитие потенциала для эффективного управления океаном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6C5B4" w14:textId="7B48C5B9" w:rsidR="004D4543" w:rsidRPr="00C55528" w:rsidRDefault="004D4543" w:rsidP="00C55528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4.1 Оценка текущего потенциала управления во всем мире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6641" w14:textId="77777777" w:rsidR="004D4543" w:rsidRPr="00C55528" w:rsidRDefault="004D4543" w:rsidP="00C55528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4.1.1 Проведение оценки потребностей различных групп заинтересованных лиц.</w:t>
            </w:r>
          </w:p>
          <w:p w14:paraId="0806221A" w14:textId="43609377" w:rsidR="004D4543" w:rsidRPr="00C55528" w:rsidRDefault="004D4543" w:rsidP="00086969">
            <w:pPr>
              <w:widowControl w:val="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 xml:space="preserve">4.1.2 Анализ существующих учебных ресурсов и возможностей по повышению грамотности в связанных с океаном вопросах. </w:t>
            </w:r>
          </w:p>
        </w:tc>
      </w:tr>
      <w:tr w:rsidR="004D4543" w:rsidRPr="00C55528" w14:paraId="5F97EE52" w14:textId="77777777" w:rsidTr="004D4543">
        <w:trPr>
          <w:trHeight w:val="2260"/>
        </w:trPr>
        <w:tc>
          <w:tcPr>
            <w:tcW w:w="32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E8280" w14:textId="77777777" w:rsidR="004D4543" w:rsidRPr="00C55528" w:rsidRDefault="004D4543" w:rsidP="00C55528">
            <w:pPr>
              <w:widowControl w:val="0"/>
              <w:spacing w:after="120"/>
              <w:rPr>
                <w:rFonts w:cs="Arial"/>
                <w:b/>
                <w:szCs w:val="22"/>
                <w:highlight w:val="white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11DED" w14:textId="126210A2" w:rsidR="004D4543" w:rsidRPr="00C55528" w:rsidRDefault="004D4543" w:rsidP="004D4543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4.2 Разработка программ по преодолению разрыва в потенциале заинтересованных сторон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1083F" w14:textId="77777777" w:rsidR="004D4543" w:rsidRPr="00C55528" w:rsidRDefault="004D4543" w:rsidP="004D4543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4.2.1 Планирование стратегии развития потенциала на основе результатов оценки потребностей.</w:t>
            </w:r>
          </w:p>
          <w:p w14:paraId="49B5D422" w14:textId="7700286D" w:rsidR="004D4543" w:rsidRPr="00C55528" w:rsidRDefault="004D4543" w:rsidP="004D4543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 xml:space="preserve">4.2.2 Расширение доступа к учебным ресурсам и возможностям для всех заинтересованных лиц. </w:t>
            </w:r>
          </w:p>
        </w:tc>
      </w:tr>
      <w:tr w:rsidR="004D4543" w:rsidRPr="00C55528" w14:paraId="5CF75C54" w14:textId="77777777" w:rsidTr="00086969">
        <w:trPr>
          <w:trHeight w:val="2515"/>
        </w:trPr>
        <w:tc>
          <w:tcPr>
            <w:tcW w:w="32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E76B5" w14:textId="77777777" w:rsidR="004D4543" w:rsidRPr="00C55528" w:rsidRDefault="004D4543" w:rsidP="00C55528">
            <w:pPr>
              <w:widowControl w:val="0"/>
              <w:spacing w:after="120"/>
              <w:rPr>
                <w:rFonts w:cs="Arial"/>
                <w:b/>
                <w:szCs w:val="22"/>
                <w:highlight w:val="white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F0B2" w14:textId="77777777" w:rsidR="004D4543" w:rsidRPr="00C55528" w:rsidRDefault="004D4543" w:rsidP="004D4543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4.3 Организация возможностей по повышению потенциала в соответствии с потребностями различных групп заинтересованных лиц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53F0" w14:textId="77777777" w:rsidR="004D4543" w:rsidRPr="00C55528" w:rsidRDefault="004D4543" w:rsidP="004D4543">
            <w:pPr>
              <w:widowControl w:val="0"/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ru"/>
              </w:rPr>
              <w:t>4.3.1 Развитие успеха Летних школ по повышению грамотности в связанных с океаном вопросах и инициатив под руководством НСО для расширения возможностей развития их потенциала.</w:t>
            </w:r>
          </w:p>
          <w:p w14:paraId="3D0AA8B7" w14:textId="77777777" w:rsidR="004D4543" w:rsidRPr="00C55528" w:rsidRDefault="004D4543" w:rsidP="00086969">
            <w:pPr>
              <w:widowControl w:val="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 xml:space="preserve">4.3.2 Использование Глобальной академии «Океан-Инструктор» для предоставления </w:t>
            </w:r>
            <w:r>
              <w:rPr>
                <w:rFonts w:cs="Arial"/>
                <w:szCs w:val="22"/>
                <w:highlight w:val="white"/>
                <w:lang w:val="ru"/>
              </w:rPr>
              <w:lastRenderedPageBreak/>
              <w:t>адаптированных ресурсов целевым группам.</w:t>
            </w:r>
          </w:p>
        </w:tc>
      </w:tr>
      <w:tr w:rsidR="004D4543" w:rsidRPr="00C55528" w14:paraId="73CD8EA2" w14:textId="77777777" w:rsidTr="004D4543">
        <w:trPr>
          <w:trHeight w:val="1500"/>
        </w:trPr>
        <w:tc>
          <w:tcPr>
            <w:tcW w:w="32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4D82C" w14:textId="4D56FD33" w:rsidR="004D4543" w:rsidRPr="00C55528" w:rsidRDefault="004D4543" w:rsidP="00C55528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b/>
                <w:bCs/>
                <w:szCs w:val="22"/>
                <w:highlight w:val="white"/>
                <w:lang w:val="ru"/>
              </w:rPr>
              <w:lastRenderedPageBreak/>
              <w:t xml:space="preserve">5. </w:t>
            </w:r>
            <w:r>
              <w:rPr>
                <w:rFonts w:cs="Arial"/>
                <w:b/>
                <w:bCs/>
                <w:szCs w:val="22"/>
                <w:lang w:val="ru"/>
              </w:rPr>
              <w:t>Активизация исследований в области изменения человеческого поведения, научной коммуникации и воздействия распространения знаний об океане на повышение ее эффективности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A1447" w14:textId="604174FF" w:rsidR="004D4543" w:rsidRPr="00C55528" w:rsidRDefault="004D4543" w:rsidP="00980720">
            <w:pPr>
              <w:widowControl w:val="0"/>
              <w:spacing w:after="24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5.1 Создание сетей экспертов по изменению поведения, научной коммуникации и оценке воздействия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122B7" w14:textId="38F17002" w:rsidR="004D4543" w:rsidRPr="00C55528" w:rsidRDefault="004D4543" w:rsidP="004D4543">
            <w:pPr>
              <w:widowControl w:val="0"/>
              <w:shd w:val="clear" w:color="auto" w:fill="FFFFFF"/>
              <w:spacing w:after="24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5.1.1 Выявление экспертов в области изменения поведения, научной коммуникации и оценки воздействия.</w:t>
            </w:r>
          </w:p>
        </w:tc>
      </w:tr>
      <w:tr w:rsidR="004D4543" w:rsidRPr="00C55528" w14:paraId="124AF74E" w14:textId="77777777" w:rsidTr="004D4543">
        <w:trPr>
          <w:trHeight w:val="3450"/>
        </w:trPr>
        <w:tc>
          <w:tcPr>
            <w:tcW w:w="32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B49F" w14:textId="77777777" w:rsidR="004D4543" w:rsidRPr="00C55528" w:rsidRDefault="004D4543" w:rsidP="00C55528">
            <w:pPr>
              <w:widowControl w:val="0"/>
              <w:spacing w:after="120"/>
              <w:rPr>
                <w:rFonts w:cs="Arial"/>
                <w:b/>
                <w:szCs w:val="22"/>
                <w:highlight w:val="white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EEEFD" w14:textId="79CCFCE3" w:rsidR="004D4543" w:rsidRPr="00C55528" w:rsidRDefault="004D4543" w:rsidP="004D4543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5.2 Разработка инструментов для изменения поведения, научной коммуникации и оценки воздействия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0345D" w14:textId="77777777" w:rsidR="004D4543" w:rsidRPr="00C55528" w:rsidRDefault="004D4543" w:rsidP="004D4543">
            <w:pPr>
              <w:widowControl w:val="0"/>
              <w:shd w:val="clear" w:color="auto" w:fill="FFFFFF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5.2.1 Определение в партнерстве с экспертами возможностей для разработки инновационных инструментов для изменения поведения, научной коммуникации и оценки воздействия.</w:t>
            </w:r>
          </w:p>
          <w:p w14:paraId="6A030E5D" w14:textId="480E91A4" w:rsidR="004D4543" w:rsidRPr="00C55528" w:rsidRDefault="004D4543" w:rsidP="004D4543">
            <w:pPr>
              <w:widowControl w:val="0"/>
              <w:shd w:val="clear" w:color="auto" w:fill="FFFFFF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5.2.2 Разработка и внедрение единых показателей, которые позволят измерить изменение поведения и оценить воздействие на национальном, региональном и глобальном уровне.</w:t>
            </w:r>
          </w:p>
        </w:tc>
      </w:tr>
      <w:tr w:rsidR="004D4543" w:rsidRPr="00C55528" w14:paraId="01C47E6E" w14:textId="77777777" w:rsidTr="004D4543">
        <w:tc>
          <w:tcPr>
            <w:tcW w:w="32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F31FB" w14:textId="77777777" w:rsidR="004D4543" w:rsidRPr="00C55528" w:rsidRDefault="004D4543" w:rsidP="00C55528">
            <w:pPr>
              <w:widowControl w:val="0"/>
              <w:spacing w:after="120"/>
              <w:rPr>
                <w:rFonts w:cs="Arial"/>
                <w:b/>
                <w:szCs w:val="22"/>
                <w:highlight w:val="white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437F" w14:textId="77777777" w:rsidR="004D4543" w:rsidRPr="00C55528" w:rsidRDefault="004D4543" w:rsidP="004D4543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5.3 Популяризация исследовательских проектов по изменению поведения, научной коммуникации и воздействию распространения знаний об океане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20C6" w14:textId="77777777" w:rsidR="004D4543" w:rsidRPr="00C55528" w:rsidRDefault="004D4543" w:rsidP="004D4543">
            <w:pPr>
              <w:widowControl w:val="0"/>
              <w:shd w:val="clear" w:color="auto" w:fill="FFFFFF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5.3.1 Проверка наличия проектов по изменению поведения, научной коммуникации и воздействию распространения знаний об океане.</w:t>
            </w:r>
          </w:p>
          <w:p w14:paraId="62AC4204" w14:textId="77777777" w:rsidR="004D4543" w:rsidRPr="00C55528" w:rsidRDefault="004D4543" w:rsidP="004D4543">
            <w:pPr>
              <w:widowControl w:val="0"/>
              <w:shd w:val="clear" w:color="auto" w:fill="FFFFFF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5.3.2 Осуществление гражданских научных программ и сотрудничество с ними.</w:t>
            </w:r>
          </w:p>
          <w:p w14:paraId="46A34CC2" w14:textId="77777777" w:rsidR="004D4543" w:rsidRPr="00C55528" w:rsidRDefault="004D4543" w:rsidP="004D4543">
            <w:pPr>
              <w:widowControl w:val="0"/>
              <w:shd w:val="clear" w:color="auto" w:fill="FFFFFF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 xml:space="preserve">5.3.3 Определение </w:t>
            </w:r>
            <w:r>
              <w:rPr>
                <w:rFonts w:cs="Arial"/>
                <w:szCs w:val="22"/>
                <w:highlight w:val="white"/>
                <w:lang w:val="ru"/>
              </w:rPr>
              <w:lastRenderedPageBreak/>
              <w:t>пробелов, которые необходимо заполнить в этих областях исследований.</w:t>
            </w:r>
          </w:p>
        </w:tc>
      </w:tr>
      <w:tr w:rsidR="004D4543" w:rsidRPr="00C55528" w14:paraId="69D8365A" w14:textId="77777777" w:rsidTr="00086969">
        <w:trPr>
          <w:trHeight w:val="921"/>
        </w:trPr>
        <w:tc>
          <w:tcPr>
            <w:tcW w:w="32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D9FC" w14:textId="77777777" w:rsidR="004D4543" w:rsidRPr="00C55528" w:rsidRDefault="004D4543" w:rsidP="00C55528">
            <w:pPr>
              <w:widowControl w:val="0"/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  <w:highlight w:val="white"/>
                <w:lang w:val="ru"/>
              </w:rPr>
              <w:lastRenderedPageBreak/>
              <w:t>6. Устойчивая мобилизация ресурсов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4DA8A" w14:textId="60F489A9" w:rsidR="004D4543" w:rsidRPr="00980720" w:rsidRDefault="004D4543" w:rsidP="00086969">
            <w:pPr>
              <w:widowControl w:val="0"/>
              <w:shd w:val="clear" w:color="auto" w:fill="FFFFFF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6.1 Возможности в натуральной форме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340B" w14:textId="41A625A3" w:rsidR="004D4543" w:rsidRPr="00C55528" w:rsidRDefault="004D4543" w:rsidP="00086969">
            <w:pPr>
              <w:widowControl w:val="0"/>
              <w:shd w:val="clear" w:color="auto" w:fill="FFFFFF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6.1.1 Укрепление партнерских отношений для увеличения поддержки в натуральной форме (например, путем поощрения прикомандирования, займов и т. д.).</w:t>
            </w:r>
          </w:p>
        </w:tc>
      </w:tr>
      <w:tr w:rsidR="004D4543" w:rsidRPr="00C55528" w14:paraId="7C7C9ACE" w14:textId="77777777" w:rsidTr="00387911">
        <w:trPr>
          <w:trHeight w:val="2480"/>
        </w:trPr>
        <w:tc>
          <w:tcPr>
            <w:tcW w:w="32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04AC" w14:textId="77777777" w:rsidR="004D4543" w:rsidRPr="00C55528" w:rsidRDefault="004D4543" w:rsidP="00C55528">
            <w:pPr>
              <w:widowControl w:val="0"/>
              <w:spacing w:after="120"/>
              <w:rPr>
                <w:rFonts w:cs="Arial"/>
                <w:b/>
                <w:szCs w:val="22"/>
                <w:highlight w:val="white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C3EE2" w14:textId="03D36C75" w:rsidR="004D4543" w:rsidRPr="00C55528" w:rsidRDefault="00086969" w:rsidP="00980720">
            <w:pPr>
              <w:widowControl w:val="0"/>
              <w:shd w:val="clear" w:color="auto" w:fill="FFFFFF"/>
              <w:spacing w:before="120"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 xml:space="preserve">6.2 </w:t>
            </w:r>
            <w:r>
              <w:rPr>
                <w:rFonts w:cs="Arial"/>
                <w:szCs w:val="22"/>
                <w:lang w:val="ru"/>
              </w:rPr>
              <w:t>Финансовая поддержка со стороны государств-членов, частного сектора и благотворительных организаций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A2E7D" w14:textId="77777777" w:rsidR="004D4543" w:rsidRPr="00C55528" w:rsidRDefault="004D4543" w:rsidP="004D4543">
            <w:pPr>
              <w:widowControl w:val="0"/>
              <w:shd w:val="clear" w:color="auto" w:fill="FFFFFF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6.2.1 Мобилизация ресурсов от государств-членов, институциональных партнеров и частного сектора.</w:t>
            </w:r>
          </w:p>
          <w:p w14:paraId="51D53C71" w14:textId="6AEA9B5A" w:rsidR="004D4543" w:rsidRPr="00C55528" w:rsidRDefault="004D4543" w:rsidP="004D4543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6.2.2. Усиление влияния доноров из государственного и частного секторов путем направления их взносов на общие цели.</w:t>
            </w:r>
          </w:p>
        </w:tc>
      </w:tr>
      <w:tr w:rsidR="004D4543" w:rsidRPr="00C55528" w14:paraId="4ADB967D" w14:textId="77777777" w:rsidTr="004D4543">
        <w:trPr>
          <w:trHeight w:val="2850"/>
        </w:trPr>
        <w:tc>
          <w:tcPr>
            <w:tcW w:w="32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633B3" w14:textId="6E77AB5D" w:rsidR="004D4543" w:rsidRPr="00086969" w:rsidRDefault="004D4543" w:rsidP="00086969">
            <w:pPr>
              <w:widowControl w:val="0"/>
              <w:spacing w:after="120"/>
              <w:rPr>
                <w:rFonts w:cs="Arial"/>
                <w:b/>
                <w:szCs w:val="22"/>
                <w:highlight w:val="white"/>
              </w:rPr>
            </w:pPr>
            <w:r>
              <w:rPr>
                <w:rFonts w:cs="Arial"/>
                <w:b/>
                <w:bCs/>
                <w:szCs w:val="22"/>
                <w:highlight w:val="white"/>
                <w:lang w:val="ru"/>
              </w:rPr>
              <w:t>7. Признанное культурное и природное наследие как столпы грамотности в связанных с океаном вопросах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D0A63" w14:textId="4556CAB3" w:rsidR="004D4543" w:rsidRPr="00C55528" w:rsidRDefault="004D4543" w:rsidP="00C55528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7.1 Интеграция культурного и природного наследия в содержание программ по повышению грамотности в связанных с океаном вопросах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463A4" w14:textId="77777777" w:rsidR="004D4543" w:rsidRPr="00C55528" w:rsidRDefault="004D4543" w:rsidP="00C55528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7.1.1 Разработка образовательных ресурсов и инициатив по сторителлингу, подчеркивающих исторические традиции, связанные с морем, мореходные знания и культурные связи с океаном.</w:t>
            </w:r>
          </w:p>
          <w:p w14:paraId="52601392" w14:textId="490449CD" w:rsidR="004D4543" w:rsidRPr="00C55528" w:rsidRDefault="004D4543" w:rsidP="00086969">
            <w:pPr>
              <w:widowControl w:val="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 xml:space="preserve">7.1.2 Сотрудничество с учреждениями (например, музеями, объектами, включенными в наследие, архивами) для совместного создания экспозиций, учебных планов и просветительских программ, объединяющих наследие и грамотность в связанных с океаном </w:t>
            </w:r>
            <w:r>
              <w:rPr>
                <w:rFonts w:cs="Arial"/>
                <w:szCs w:val="22"/>
                <w:highlight w:val="white"/>
                <w:lang w:val="ru"/>
              </w:rPr>
              <w:lastRenderedPageBreak/>
              <w:t>вопросах.</w:t>
            </w:r>
          </w:p>
        </w:tc>
      </w:tr>
      <w:tr w:rsidR="004D4543" w:rsidRPr="00C55528" w14:paraId="2A337951" w14:textId="77777777" w:rsidTr="00086969">
        <w:tc>
          <w:tcPr>
            <w:tcW w:w="32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B6C39" w14:textId="77777777" w:rsidR="004D4543" w:rsidRPr="00C55528" w:rsidRDefault="004D4543" w:rsidP="00C55528">
            <w:pPr>
              <w:widowControl w:val="0"/>
              <w:spacing w:after="120"/>
              <w:rPr>
                <w:rFonts w:cs="Arial"/>
                <w:b/>
                <w:szCs w:val="22"/>
                <w:highlight w:val="white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393F5" w14:textId="44901224" w:rsidR="004D4543" w:rsidRPr="00C55528" w:rsidRDefault="004D4543" w:rsidP="004D4543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7.2 Признание и защита морских объектов культурного и природного наследия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D1DE" w14:textId="77777777" w:rsidR="004D4543" w:rsidRPr="00C55528" w:rsidRDefault="004D4543" w:rsidP="004D4543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7.2.1 Повышение осведомленности о культурно значимых морских районах.</w:t>
            </w:r>
          </w:p>
          <w:p w14:paraId="3D100242" w14:textId="63389F64" w:rsidR="004D4543" w:rsidRPr="00C55528" w:rsidRDefault="004D4543" w:rsidP="00086969">
            <w:pPr>
              <w:widowControl w:val="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7.2.2 Поощрение диалогов о политике и деятельности по сохранению, объединяющих распространение знаний об океане и охрану морского культурного и природного наследия.</w:t>
            </w:r>
          </w:p>
        </w:tc>
      </w:tr>
      <w:tr w:rsidR="004D4543" w:rsidRPr="00C55528" w14:paraId="43E43B42" w14:textId="77777777" w:rsidTr="00086969">
        <w:tc>
          <w:tcPr>
            <w:tcW w:w="32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8A5D1" w14:textId="77777777" w:rsidR="004D4543" w:rsidRPr="00C55528" w:rsidRDefault="004D4543" w:rsidP="00C55528">
            <w:pPr>
              <w:widowControl w:val="0"/>
              <w:spacing w:after="120"/>
              <w:rPr>
                <w:rFonts w:cs="Arial"/>
                <w:b/>
                <w:szCs w:val="22"/>
                <w:highlight w:val="white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E3D48" w14:textId="77777777" w:rsidR="004D4543" w:rsidRDefault="004D4543" w:rsidP="004D4543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7.3 Признание важности систем знаний коренного и местного населения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1E4D2" w14:textId="77777777" w:rsidR="004D4543" w:rsidRPr="00C55528" w:rsidRDefault="004D4543" w:rsidP="004D4543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7.3.1 Обеспечение уважительного представления знаний коренного и местного населения в рамках формальных и неформальных усилий по распространению знаний об океане.</w:t>
            </w:r>
          </w:p>
        </w:tc>
      </w:tr>
      <w:tr w:rsidR="004D4543" w:rsidRPr="00C55528" w14:paraId="55FC2FAE" w14:textId="77777777" w:rsidTr="00086969">
        <w:trPr>
          <w:trHeight w:val="2012"/>
        </w:trPr>
        <w:tc>
          <w:tcPr>
            <w:tcW w:w="32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91A11" w14:textId="77777777" w:rsidR="004D4543" w:rsidRPr="00C55528" w:rsidRDefault="004D4543" w:rsidP="00C55528">
            <w:pPr>
              <w:widowControl w:val="0"/>
              <w:spacing w:after="120"/>
              <w:rPr>
                <w:rFonts w:cs="Arial"/>
                <w:b/>
                <w:szCs w:val="22"/>
                <w:highlight w:val="white"/>
              </w:rPr>
            </w:pPr>
            <w:r>
              <w:rPr>
                <w:rFonts w:cs="Arial"/>
                <w:b/>
                <w:bCs/>
                <w:szCs w:val="22"/>
                <w:highlight w:val="white"/>
                <w:lang w:val="ru"/>
              </w:rPr>
              <w:t>8. Интеграция распространения знаний об океане в политику и процесс принятия решений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28E2C" w14:textId="6DCB1C8A" w:rsidR="004D4543" w:rsidRPr="00C55528" w:rsidRDefault="004D4543" w:rsidP="00086969">
            <w:pPr>
              <w:widowControl w:val="0"/>
              <w:spacing w:after="120"/>
              <w:ind w:left="8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8.1 Повышение осведомленности среди лиц, принимающих решения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51E4D" w14:textId="77777777" w:rsidR="004D4543" w:rsidRPr="00C55528" w:rsidRDefault="004D4543" w:rsidP="00C55528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8.1.1 Создание возможностей для взаимодействия с политиками на разных уровнях.</w:t>
            </w:r>
          </w:p>
          <w:p w14:paraId="3E5ECD71" w14:textId="2412C55B" w:rsidR="004D4543" w:rsidRPr="00086969" w:rsidRDefault="004D4543" w:rsidP="00086969">
            <w:pPr>
              <w:widowControl w:val="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8.1.2 Повышение осведомленности с помощью специальных материалов и возможностей, предназначенных для политиков.</w:t>
            </w:r>
          </w:p>
        </w:tc>
      </w:tr>
      <w:tr w:rsidR="004D4543" w:rsidRPr="00C55528" w14:paraId="77C59665" w14:textId="77777777" w:rsidTr="00387911">
        <w:trPr>
          <w:trHeight w:val="1510"/>
        </w:trPr>
        <w:tc>
          <w:tcPr>
            <w:tcW w:w="32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A8C67" w14:textId="77777777" w:rsidR="004D4543" w:rsidRPr="00C55528" w:rsidRDefault="004D4543" w:rsidP="00C55528">
            <w:pPr>
              <w:widowControl w:val="0"/>
              <w:spacing w:after="120"/>
              <w:rPr>
                <w:rFonts w:cs="Arial"/>
                <w:b/>
                <w:szCs w:val="22"/>
                <w:highlight w:val="white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92DCD" w14:textId="77777777" w:rsidR="004D4543" w:rsidRPr="00C55528" w:rsidRDefault="004D4543" w:rsidP="004D4543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8.2 Межсекторальное руководство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7A511" w14:textId="77777777" w:rsidR="004D4543" w:rsidRPr="00C55528" w:rsidRDefault="004D4543" w:rsidP="004D4543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8.2.1 Внедрение принципов повышения грамотности в связанных с океаном вопросах в национальные и региональные морские политики, стратегии голубой экономики и рамочные программы по адаптации к изменению климата.</w:t>
            </w:r>
          </w:p>
          <w:p w14:paraId="4F9460D4" w14:textId="77777777" w:rsidR="004D4543" w:rsidRPr="00C55528" w:rsidRDefault="004D4543" w:rsidP="004D4543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8.2.2 Поощрение межсекоторальных подходов к руководству, отдающих приоритет распространению знаний об океане как инструменту устойчивого управления океаном.</w:t>
            </w:r>
          </w:p>
          <w:p w14:paraId="53AEE64A" w14:textId="77777777" w:rsidR="004D4543" w:rsidRPr="00C55528" w:rsidRDefault="004D4543" w:rsidP="00086969">
            <w:pPr>
              <w:widowControl w:val="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lang w:val="ru"/>
              </w:rPr>
              <w:t>8.2.3 Учет точки зрения молодежи в процессах принятия решений.</w:t>
            </w:r>
          </w:p>
        </w:tc>
      </w:tr>
      <w:tr w:rsidR="00086969" w:rsidRPr="00C55528" w14:paraId="3D5E73F1" w14:textId="77777777" w:rsidTr="00086969">
        <w:tc>
          <w:tcPr>
            <w:tcW w:w="32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E18ED" w14:textId="77777777" w:rsidR="00086969" w:rsidRPr="00C55528" w:rsidRDefault="00086969" w:rsidP="00086969">
            <w:pPr>
              <w:widowControl w:val="0"/>
              <w:spacing w:after="120"/>
              <w:ind w:left="338" w:hanging="360"/>
              <w:rPr>
                <w:rFonts w:cs="Arial"/>
                <w:b/>
                <w:szCs w:val="22"/>
                <w:highlight w:val="white"/>
              </w:rPr>
            </w:pPr>
            <w:r>
              <w:rPr>
                <w:rFonts w:cs="Arial"/>
                <w:b/>
                <w:bCs/>
                <w:szCs w:val="22"/>
                <w:highlight w:val="white"/>
                <w:lang w:val="ru"/>
              </w:rPr>
              <w:t>9. Повышение осведомленности общественности и цифрового взаимодействия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083C7" w14:textId="16451718" w:rsidR="00086969" w:rsidRPr="00C55528" w:rsidRDefault="00086969" w:rsidP="00086969">
            <w:pPr>
              <w:widowControl w:val="0"/>
              <w:spacing w:after="120"/>
              <w:ind w:left="386" w:hanging="36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9.1 Видимость в СМИ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C672D" w14:textId="77777777" w:rsidR="00086969" w:rsidRPr="00C55528" w:rsidRDefault="00086969" w:rsidP="00C55528">
            <w:pPr>
              <w:widowControl w:val="0"/>
              <w:spacing w:after="12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9.1.1 Укрепление сотрудничества с традиционными СМИ и создателями интернет-контента для расширения распространения знаний об океане, в том числе, посредством газет, журналов, социальных сетей, подкастов и интерактивного сторителлинга.</w:t>
            </w:r>
          </w:p>
          <w:p w14:paraId="2C2EE2D2" w14:textId="77777777" w:rsidR="00086969" w:rsidRPr="00C55528" w:rsidRDefault="00086969" w:rsidP="00C55528">
            <w:pPr>
              <w:widowControl w:val="0"/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ru"/>
              </w:rPr>
              <w:t>9.1.2 Расширение сотрудничества с молодыми защитниками океана для последующего их содействия распространению знаний об океане.</w:t>
            </w:r>
          </w:p>
          <w:p w14:paraId="7615CCCB" w14:textId="3302CE5C" w:rsidR="00086969" w:rsidRPr="00C55528" w:rsidRDefault="00086969" w:rsidP="00086969">
            <w:pPr>
              <w:widowControl w:val="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 xml:space="preserve">9.2.1 Проведение кампаний и программ по информированию общественности, направленных на привлечение более </w:t>
            </w:r>
            <w:r>
              <w:rPr>
                <w:rFonts w:cs="Arial"/>
                <w:szCs w:val="22"/>
                <w:highlight w:val="white"/>
                <w:lang w:val="ru"/>
              </w:rPr>
              <w:lastRenderedPageBreak/>
              <w:t>широкой аудитории к распространению знаний об океане.</w:t>
            </w:r>
          </w:p>
        </w:tc>
      </w:tr>
      <w:tr w:rsidR="00086969" w:rsidRPr="00C55528" w14:paraId="3796113A" w14:textId="77777777" w:rsidTr="00086969">
        <w:tc>
          <w:tcPr>
            <w:tcW w:w="32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9ADD2" w14:textId="77777777" w:rsidR="00086969" w:rsidRPr="00C55528" w:rsidRDefault="00086969" w:rsidP="00086969">
            <w:pPr>
              <w:widowControl w:val="0"/>
              <w:spacing w:after="120"/>
              <w:ind w:left="338" w:hanging="360"/>
              <w:rPr>
                <w:rFonts w:cs="Arial"/>
                <w:b/>
                <w:szCs w:val="22"/>
                <w:highlight w:val="white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346B" w14:textId="3B600B1C" w:rsidR="00086969" w:rsidRPr="00C55528" w:rsidRDefault="00086969" w:rsidP="00086969">
            <w:pPr>
              <w:widowControl w:val="0"/>
              <w:spacing w:after="120"/>
              <w:ind w:left="386" w:hanging="36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9.2 Цифровой охват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DD2A1" w14:textId="610304F8" w:rsidR="00086969" w:rsidRPr="00C55528" w:rsidRDefault="00086969" w:rsidP="00086969">
            <w:pPr>
              <w:widowControl w:val="0"/>
              <w:rPr>
                <w:rFonts w:cs="Arial"/>
                <w:szCs w:val="22"/>
                <w:highlight w:val="white"/>
              </w:rPr>
            </w:pPr>
            <w:r>
              <w:rPr>
                <w:rFonts w:cs="Arial"/>
                <w:szCs w:val="22"/>
                <w:highlight w:val="white"/>
                <w:lang w:val="ru"/>
              </w:rPr>
              <w:t>9.2.2 Использование новых технологий, таких как виртуальная реальность и инструменты визуализации данных, для создания впечатляющих и захватывающих историй, делающих науку об океане более доступной и наглядной.</w:t>
            </w:r>
          </w:p>
        </w:tc>
      </w:tr>
    </w:tbl>
    <w:p w14:paraId="47DE08CB" w14:textId="77777777" w:rsidR="00C55528" w:rsidRPr="00C55528" w:rsidRDefault="00C55528" w:rsidP="00086969">
      <w:pPr>
        <w:pStyle w:val="ListParagraph"/>
        <w:snapToGrid w:val="0"/>
        <w:spacing w:before="240" w:after="240"/>
        <w:ind w:left="0"/>
        <w:contextualSpacing w:val="0"/>
        <w:rPr>
          <w:rFonts w:ascii="Arial" w:hAnsi="Arial" w:cs="Arial"/>
          <w:sz w:val="22"/>
          <w:szCs w:val="22"/>
        </w:rPr>
      </w:pPr>
    </w:p>
    <w:sectPr w:rsidR="00C55528" w:rsidRPr="00C55528" w:rsidSect="003F7186">
      <w:headerReference w:type="even" r:id="rId18"/>
      <w:headerReference w:type="default" r:id="rId19"/>
      <w:headerReference w:type="first" r:id="rId20"/>
      <w:type w:val="oddPage"/>
      <w:pgSz w:w="11906" w:h="16838" w:code="9"/>
      <w:pgMar w:top="1418" w:right="1134" w:bottom="1134" w:left="1134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AF827" w14:textId="77777777" w:rsidR="003A1612" w:rsidRDefault="003A1612">
      <w:r>
        <w:separator/>
      </w:r>
    </w:p>
  </w:endnote>
  <w:endnote w:type="continuationSeparator" w:id="0">
    <w:p w14:paraId="6BEB3081" w14:textId="77777777" w:rsidR="003A1612" w:rsidRDefault="003A1612">
      <w:r>
        <w:continuationSeparator/>
      </w:r>
    </w:p>
  </w:endnote>
  <w:endnote w:type="continuationNotice" w:id="1">
    <w:p w14:paraId="703A3248" w14:textId="77777777" w:rsidR="003A1612" w:rsidRDefault="003A16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3AFC1" w14:textId="77777777" w:rsidR="003A1612" w:rsidRDefault="003A1612">
      <w:r>
        <w:separator/>
      </w:r>
    </w:p>
  </w:footnote>
  <w:footnote w:type="continuationSeparator" w:id="0">
    <w:p w14:paraId="38316D0D" w14:textId="77777777" w:rsidR="003A1612" w:rsidRDefault="003A1612">
      <w:r>
        <w:continuationSeparator/>
      </w:r>
    </w:p>
  </w:footnote>
  <w:footnote w:type="continuationNotice" w:id="1">
    <w:p w14:paraId="0D913F56" w14:textId="77777777" w:rsidR="003A1612" w:rsidRDefault="003A16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719C4" w14:textId="77777777" w:rsidR="00441140" w:rsidRPr="00C962F0" w:rsidRDefault="00441140">
    <w:pPr>
      <w:pStyle w:val="Header"/>
      <w:rPr>
        <w:szCs w:val="22"/>
      </w:rPr>
    </w:pPr>
    <w:r>
      <w:rPr>
        <w:szCs w:val="22"/>
        <w:lang w:val="ru"/>
      </w:rPr>
      <w:t>ICG/CARIBE-EWS II/WD </w:t>
    </w:r>
    <w:r>
      <w:rPr>
        <w:szCs w:val="22"/>
        <w:highlight w:val="cyan"/>
        <w:lang w:val="ru"/>
      </w:rPr>
      <w:t>__</w:t>
    </w:r>
  </w:p>
  <w:p w14:paraId="6A24548F" w14:textId="77777777" w:rsidR="00441140" w:rsidRPr="00C962F0" w:rsidRDefault="00441140">
    <w:pPr>
      <w:pStyle w:val="Header"/>
      <w:rPr>
        <w:szCs w:val="22"/>
      </w:rPr>
    </w:pPr>
    <w:r>
      <w:rPr>
        <w:szCs w:val="22"/>
        <w:lang w:val="ru"/>
      </w:rPr>
      <w:t>Страница </w:t>
    </w:r>
    <w:r>
      <w:rPr>
        <w:rStyle w:val="PageNumber"/>
        <w:szCs w:val="22"/>
        <w:lang w:val="ru"/>
      </w:rPr>
      <w:fldChar w:fldCharType="begin"/>
    </w:r>
    <w:r>
      <w:rPr>
        <w:rStyle w:val="PageNumber"/>
        <w:szCs w:val="22"/>
        <w:lang w:val="ru"/>
      </w:rPr>
      <w:instrText xml:space="preserve"> PAGE </w:instrText>
    </w:r>
    <w:r>
      <w:rPr>
        <w:rStyle w:val="PageNumber"/>
        <w:szCs w:val="22"/>
        <w:lang w:val="ru"/>
      </w:rPr>
      <w:fldChar w:fldCharType="separate"/>
    </w:r>
    <w:r>
      <w:rPr>
        <w:rStyle w:val="PageNumber"/>
        <w:noProof/>
        <w:szCs w:val="22"/>
        <w:lang w:val="ru"/>
      </w:rPr>
      <w:t>2</w:t>
    </w:r>
    <w:r>
      <w:rPr>
        <w:rStyle w:val="PageNumber"/>
        <w:szCs w:val="22"/>
        <w:lang w:val="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ED62A" w14:textId="77777777" w:rsidR="00441140" w:rsidRPr="00746B89" w:rsidRDefault="00441140" w:rsidP="00DF2FB9">
    <w:pPr>
      <w:pStyle w:val="Header"/>
      <w:tabs>
        <w:tab w:val="clear" w:pos="8306"/>
      </w:tabs>
      <w:rPr>
        <w:szCs w:val="22"/>
      </w:rPr>
    </w:pPr>
    <w:r>
      <w:rPr>
        <w:szCs w:val="22"/>
        <w:lang w:val="ru"/>
      </w:rPr>
      <w:t xml:space="preserve">IOC-XXIV/2 </w:t>
    </w:r>
    <w:r>
      <w:rPr>
        <w:szCs w:val="22"/>
        <w:lang w:val="ru"/>
      </w:rPr>
      <w:t xml:space="preserve">Annex </w:t>
    </w:r>
    <w:r>
      <w:rPr>
        <w:szCs w:val="22"/>
        <w:highlight w:val="yellow"/>
        <w:lang w:val="ru"/>
      </w:rPr>
      <w:t>__</w:t>
    </w:r>
  </w:p>
  <w:p w14:paraId="70AB0676" w14:textId="77777777" w:rsidR="00441140" w:rsidRPr="00746B89" w:rsidRDefault="00441140" w:rsidP="00DF2FB9">
    <w:pPr>
      <w:pStyle w:val="Header"/>
      <w:tabs>
        <w:tab w:val="clear" w:pos="8306"/>
      </w:tabs>
      <w:rPr>
        <w:szCs w:val="22"/>
      </w:rPr>
    </w:pPr>
    <w:r>
      <w:rPr>
        <w:szCs w:val="22"/>
        <w:lang w:val="ru"/>
      </w:rPr>
      <w:t xml:space="preserve">Страница </w:t>
    </w:r>
    <w:r>
      <w:rPr>
        <w:rStyle w:val="PageNumber"/>
        <w:szCs w:val="22"/>
        <w:lang w:val="ru"/>
      </w:rPr>
      <w:fldChar w:fldCharType="begin"/>
    </w:r>
    <w:r>
      <w:rPr>
        <w:rStyle w:val="PageNumber"/>
        <w:szCs w:val="22"/>
        <w:lang w:val="ru"/>
      </w:rPr>
      <w:instrText xml:space="preserve"> PAGE </w:instrText>
    </w:r>
    <w:r>
      <w:rPr>
        <w:rStyle w:val="PageNumber"/>
        <w:szCs w:val="22"/>
        <w:lang w:val="ru"/>
      </w:rPr>
      <w:fldChar w:fldCharType="separate"/>
    </w:r>
    <w:r>
      <w:rPr>
        <w:rStyle w:val="PageNumber"/>
        <w:noProof/>
        <w:szCs w:val="22"/>
        <w:lang w:val="ru"/>
      </w:rPr>
      <w:t>3</w:t>
    </w:r>
    <w:r>
      <w:rPr>
        <w:rStyle w:val="PageNumber"/>
        <w:szCs w:val="22"/>
        <w:lang w:val="ru"/>
      </w:rPr>
      <w:fldChar w:fldCharType="end"/>
    </w:r>
  </w:p>
  <w:p w14:paraId="6C23CAB6" w14:textId="77777777" w:rsidR="00441140" w:rsidRPr="00DF2FB9" w:rsidRDefault="00441140" w:rsidP="00DF2FB9">
    <w:pPr>
      <w:pStyle w:val="Header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6D51F" w14:textId="677DC019" w:rsidR="00C12E5A" w:rsidRPr="007C710A" w:rsidRDefault="00C12E5A" w:rsidP="00AA2CD5">
    <w:pPr>
      <w:pStyle w:val="Marge"/>
      <w:tabs>
        <w:tab w:val="left" w:pos="6096"/>
        <w:tab w:val="left" w:pos="7560"/>
      </w:tabs>
      <w:spacing w:after="0"/>
      <w:rPr>
        <w:rFonts w:cs="Arial"/>
        <w:b/>
        <w:szCs w:val="22"/>
      </w:rPr>
    </w:pPr>
    <w:r>
      <w:rPr>
        <w:rFonts w:cs="Arial"/>
        <w:szCs w:val="22"/>
        <w:lang w:val="ru"/>
      </w:rPr>
      <w:t xml:space="preserve">Рассылается </w:t>
    </w:r>
    <w:r>
      <w:rPr>
        <w:rFonts w:cs="Arial"/>
        <w:szCs w:val="22"/>
        <w:lang w:val="ru"/>
      </w:rPr>
      <w:t>по списку</w:t>
    </w:r>
    <w:r>
      <w:rPr>
        <w:rFonts w:cs="Arial"/>
        <w:szCs w:val="22"/>
        <w:lang w:val="ru"/>
      </w:rPr>
      <w:tab/>
    </w:r>
    <w:r>
      <w:rPr>
        <w:rFonts w:cs="Arial"/>
        <w:b/>
        <w:bCs/>
        <w:sz w:val="36"/>
        <w:szCs w:val="36"/>
        <w:lang w:val="ru"/>
      </w:rPr>
      <w:t>IOC/A-33/4.4.Doc(1)</w:t>
    </w:r>
  </w:p>
  <w:p w14:paraId="403ABF5B" w14:textId="44AF88F1" w:rsidR="00C12E5A" w:rsidRPr="002D5222" w:rsidRDefault="00C12E5A" w:rsidP="00AA2CD5">
    <w:pPr>
      <w:tabs>
        <w:tab w:val="left" w:pos="6096"/>
        <w:tab w:val="left" w:pos="7560"/>
      </w:tabs>
      <w:jc w:val="both"/>
      <w:rPr>
        <w:rFonts w:asciiTheme="minorBidi" w:hAnsiTheme="minorBidi"/>
      </w:rPr>
    </w:pPr>
    <w:r>
      <w:rPr>
        <w:noProof/>
        <w:lang w:val="ru"/>
      </w:rPr>
      <w:drawing>
        <wp:anchor distT="0" distB="0" distL="114300" distR="114300" simplePos="0" relativeHeight="251678720" behindDoc="0" locked="0" layoutInCell="1" allowOverlap="1" wp14:anchorId="68D4C686" wp14:editId="00519DD6">
          <wp:simplePos x="0" y="0"/>
          <wp:positionH relativeFrom="column">
            <wp:posOffset>-96875</wp:posOffset>
          </wp:positionH>
          <wp:positionV relativeFrom="paragraph">
            <wp:posOffset>101600</wp:posOffset>
          </wp:positionV>
          <wp:extent cx="1578610" cy="1047115"/>
          <wp:effectExtent l="0" t="0" r="2540" b="635"/>
          <wp:wrapSquare wrapText="bothSides"/>
          <wp:docPr id="4" name="Picture 4" descr="Логотип, название компании Описание генерируется автоматическ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ru"/>
      </w:rPr>
      <w:tab/>
    </w:r>
    <w:r>
      <w:rPr>
        <w:rFonts w:asciiTheme="minorBidi" w:hAnsiTheme="minorBidi"/>
        <w:lang w:val="ru"/>
      </w:rPr>
      <w:t>Париж, 24 апреля 2025 года</w:t>
    </w:r>
  </w:p>
  <w:p w14:paraId="28CBEFA2" w14:textId="77777777" w:rsidR="00C12E5A" w:rsidRPr="002D5222" w:rsidRDefault="00C12E5A" w:rsidP="00AA2CD5">
    <w:pPr>
      <w:tabs>
        <w:tab w:val="left" w:pos="6096"/>
        <w:tab w:val="left" w:pos="7560"/>
      </w:tabs>
      <w:jc w:val="both"/>
      <w:rPr>
        <w:rFonts w:asciiTheme="minorBidi" w:hAnsiTheme="minorBidi"/>
      </w:rPr>
    </w:pPr>
    <w:r>
      <w:rPr>
        <w:rFonts w:asciiTheme="minorBidi" w:hAnsiTheme="minorBidi"/>
        <w:lang w:val="ru"/>
      </w:rPr>
      <w:tab/>
      <w:t>Язык оригинала: английский</w:t>
    </w:r>
  </w:p>
  <w:p w14:paraId="32B4F112" w14:textId="77777777" w:rsidR="00C12E5A" w:rsidRPr="002D5222" w:rsidRDefault="00C12E5A" w:rsidP="00AA2CD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670"/>
        <w:tab w:val="left" w:pos="5812"/>
        <w:tab w:val="left" w:pos="6096"/>
        <w:tab w:val="left" w:pos="7020"/>
        <w:tab w:val="left" w:pos="7088"/>
      </w:tabs>
      <w:jc w:val="both"/>
      <w:rPr>
        <w:rFonts w:asciiTheme="minorBidi" w:hAnsiTheme="minorBidi"/>
        <w:b/>
      </w:rPr>
    </w:pPr>
  </w:p>
  <w:p w14:paraId="6291037F" w14:textId="77777777" w:rsidR="00C12E5A" w:rsidRPr="002D5222" w:rsidRDefault="00C12E5A" w:rsidP="00C12E5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</w:rPr>
    </w:pPr>
  </w:p>
  <w:p w14:paraId="704015AC" w14:textId="77777777" w:rsidR="00C12E5A" w:rsidRDefault="00C12E5A" w:rsidP="00C12E5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</w:rPr>
    </w:pPr>
  </w:p>
  <w:p w14:paraId="32EBCD58" w14:textId="77777777" w:rsidR="00C12E5A" w:rsidRDefault="00C12E5A" w:rsidP="00C12E5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</w:rPr>
    </w:pPr>
  </w:p>
  <w:p w14:paraId="4FB8D5E3" w14:textId="77777777" w:rsidR="00C12E5A" w:rsidRDefault="00C12E5A" w:rsidP="00C12E5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</w:rPr>
    </w:pPr>
  </w:p>
  <w:p w14:paraId="40B06903" w14:textId="77777777" w:rsidR="00C12E5A" w:rsidRPr="002D5222" w:rsidRDefault="00C12E5A" w:rsidP="00C12E5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</w:rPr>
    </w:pPr>
  </w:p>
  <w:p w14:paraId="658C4EF5" w14:textId="77777777" w:rsidR="00C12E5A" w:rsidRPr="002D5222" w:rsidRDefault="00C12E5A" w:rsidP="00C12E5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</w:rPr>
    </w:pPr>
  </w:p>
  <w:p w14:paraId="52BE075C" w14:textId="77777777" w:rsidR="00C12E5A" w:rsidRPr="002D5222" w:rsidRDefault="00C12E5A" w:rsidP="00C12E5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/>
        <w:b/>
      </w:rPr>
    </w:pPr>
    <w:r>
      <w:rPr>
        <w:rFonts w:asciiTheme="minorBidi" w:hAnsiTheme="minorBidi"/>
        <w:b/>
        <w:bCs/>
        <w:lang w:val="ru"/>
      </w:rPr>
      <w:t>МЕЖПРАВИТЕЛЬСТВЕННАЯ ОКЕАНОГРАФИЧЕСКАЯ КОМИССИЯ</w:t>
    </w:r>
  </w:p>
  <w:p w14:paraId="5F2D4603" w14:textId="77777777" w:rsidR="00C12E5A" w:rsidRPr="002D5222" w:rsidRDefault="00C12E5A" w:rsidP="00C12E5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/>
        <w:bCs/>
      </w:rPr>
    </w:pPr>
    <w:r>
      <w:rPr>
        <w:rFonts w:asciiTheme="minorBidi" w:hAnsiTheme="minorBidi"/>
        <w:lang w:val="ru"/>
      </w:rPr>
      <w:t>(ЮНЕСКО)</w:t>
    </w:r>
  </w:p>
  <w:p w14:paraId="66E3C903" w14:textId="77777777" w:rsidR="00C12E5A" w:rsidRPr="002D5222" w:rsidRDefault="00C12E5A" w:rsidP="00C12E5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/>
        <w:b/>
      </w:rPr>
    </w:pPr>
  </w:p>
  <w:p w14:paraId="4BA375D2" w14:textId="3BCA84F4" w:rsidR="00C12E5A" w:rsidRPr="002D5222" w:rsidRDefault="00C12E5A" w:rsidP="00C12E5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/>
        <w:b/>
      </w:rPr>
    </w:pPr>
    <w:r>
      <w:rPr>
        <w:rFonts w:asciiTheme="minorBidi" w:hAnsiTheme="minorBidi"/>
        <w:b/>
        <w:bCs/>
        <w:lang w:val="ru"/>
      </w:rPr>
      <w:t>Тридцать третья сессия Ассамблеи</w:t>
    </w:r>
  </w:p>
  <w:p w14:paraId="58EBCB2F" w14:textId="18A6D34D" w:rsidR="00C12E5A" w:rsidRPr="002D5222" w:rsidRDefault="00C12E5A" w:rsidP="00C12E5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/>
      </w:rPr>
    </w:pPr>
    <w:r>
      <w:rPr>
        <w:rFonts w:asciiTheme="minorBidi" w:hAnsiTheme="minorBidi"/>
        <w:lang w:val="ru"/>
      </w:rPr>
      <w:t>ЮНЕСКО, 25 июня – 3 июля 2025 г.</w:t>
    </w:r>
  </w:p>
  <w:p w14:paraId="68DEB85E" w14:textId="77777777" w:rsidR="00C12E5A" w:rsidRDefault="00C12E5A" w:rsidP="00C12E5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/>
        <w:bCs/>
      </w:rPr>
    </w:pPr>
  </w:p>
  <w:p w14:paraId="4B804AF5" w14:textId="77777777" w:rsidR="00C12E5A" w:rsidRDefault="00C12E5A" w:rsidP="00C12E5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/>
        <w:bCs/>
      </w:rPr>
    </w:pPr>
  </w:p>
  <w:p w14:paraId="56DFEACC" w14:textId="77777777" w:rsidR="00C12E5A" w:rsidRPr="002D5222" w:rsidRDefault="00C12E5A" w:rsidP="00C12E5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/>
        <w:bCs/>
      </w:rPr>
    </w:pPr>
  </w:p>
  <w:p w14:paraId="4353D660" w14:textId="77777777" w:rsidR="00C12E5A" w:rsidRPr="002D5222" w:rsidRDefault="00C12E5A" w:rsidP="00C12E5A">
    <w:pPr>
      <w:jc w:val="center"/>
      <w:rPr>
        <w:rFonts w:asciiTheme="minorBidi" w:hAnsiTheme="minorBidi"/>
      </w:rPr>
    </w:pPr>
  </w:p>
  <w:p w14:paraId="0253EDC1" w14:textId="77777777" w:rsidR="00C12E5A" w:rsidRPr="002D5222" w:rsidRDefault="00C12E5A" w:rsidP="00C12E5A">
    <w:pPr>
      <w:jc w:val="center"/>
      <w:rPr>
        <w:rFonts w:asciiTheme="minorBidi" w:hAnsiTheme="minorBidi"/>
      </w:rPr>
    </w:pPr>
  </w:p>
  <w:p w14:paraId="53E488E5" w14:textId="77777777" w:rsidR="000156E0" w:rsidRPr="005E544C" w:rsidRDefault="000156E0" w:rsidP="000156E0">
    <w:pPr>
      <w:jc w:val="center"/>
      <w:rPr>
        <w:rFonts w:cs="Arial"/>
        <w:szCs w:val="22"/>
      </w:rPr>
    </w:pPr>
  </w:p>
  <w:p w14:paraId="0164A3F9" w14:textId="724115FF" w:rsidR="000156E0" w:rsidRPr="00AA2CD5" w:rsidRDefault="000156E0" w:rsidP="00AD7234">
    <w:pPr>
      <w:pStyle w:val="Heading7"/>
      <w:tabs>
        <w:tab w:val="left" w:pos="5920"/>
      </w:tabs>
      <w:spacing w:line="240" w:lineRule="auto"/>
      <w:rPr>
        <w:rFonts w:cs="Arial"/>
        <w:sz w:val="24"/>
      </w:rPr>
    </w:pPr>
    <w:r>
      <w:rPr>
        <w:rFonts w:cs="Arial"/>
        <w:sz w:val="24"/>
        <w:lang w:val="ru"/>
      </w:rPr>
      <w:t xml:space="preserve">Пункт </w:t>
    </w:r>
    <w:r>
      <w:rPr>
        <w:rFonts w:cs="Arial"/>
        <w:b/>
        <w:bCs/>
        <w:sz w:val="24"/>
        <w:lang w:val="ru"/>
      </w:rPr>
      <w:t>4.4</w:t>
    </w:r>
    <w:r>
      <w:rPr>
        <w:rFonts w:cs="Arial"/>
        <w:sz w:val="24"/>
        <w:lang w:val="ru"/>
      </w:rPr>
      <w:t xml:space="preserve"> предварительной повестки дня</w:t>
    </w:r>
  </w:p>
  <w:p w14:paraId="0CF3255B" w14:textId="77777777" w:rsidR="000156E0" w:rsidRPr="005E544C" w:rsidRDefault="000156E0" w:rsidP="000156E0">
    <w:pPr>
      <w:rPr>
        <w:rFonts w:cs="Arial"/>
        <w:szCs w:val="22"/>
      </w:rPr>
    </w:pPr>
  </w:p>
  <w:p w14:paraId="1E581F27" w14:textId="77777777" w:rsidR="00441140" w:rsidRPr="005E544C" w:rsidRDefault="00441140" w:rsidP="00DF2FB9">
    <w:pPr>
      <w:rPr>
        <w:rFonts w:cs="Arial"/>
        <w:szCs w:val="22"/>
      </w:rPr>
    </w:pPr>
  </w:p>
  <w:p w14:paraId="35AFDEFB" w14:textId="2BE5E9A9" w:rsidR="00441140" w:rsidRPr="001370E4" w:rsidRDefault="00AC32C8" w:rsidP="00515584">
    <w:pPr>
      <w:pStyle w:val="Docheading"/>
      <w:spacing w:after="0"/>
      <w:rPr>
        <w:color w:val="000000"/>
        <w:sz w:val="22"/>
        <w:szCs w:val="22"/>
      </w:rPr>
    </w:pPr>
    <w:r>
      <w:rPr>
        <w:color w:val="000000"/>
        <w:sz w:val="22"/>
        <w:szCs w:val="22"/>
        <w:lang w:val="ru"/>
      </w:rPr>
      <w:t>Проект плана действий МОК по распространению знаний об океане на 2026–2030 гг.</w:t>
    </w:r>
  </w:p>
  <w:p w14:paraId="370A056C" w14:textId="77777777" w:rsidR="00441140" w:rsidRPr="00515584" w:rsidRDefault="00441140" w:rsidP="00DF2FB9">
    <w:pPr>
      <w:pStyle w:val="Header"/>
      <w:rPr>
        <w:rFonts w:cs="Arial"/>
        <w:b/>
        <w:szCs w:val="22"/>
      </w:rPr>
    </w:pPr>
  </w:p>
  <w:p w14:paraId="167EC998" w14:textId="77777777" w:rsidR="00441140" w:rsidRPr="005E544C" w:rsidRDefault="00441140">
    <w:pPr>
      <w:pStyle w:val="Header"/>
      <w:rPr>
        <w:rFonts w:cs="Arial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A695D" w14:textId="79604A59" w:rsidR="00441140" w:rsidRPr="006842FA" w:rsidRDefault="00242324" w:rsidP="00C12E5A">
    <w:pPr>
      <w:pStyle w:val="Header"/>
      <w:tabs>
        <w:tab w:val="clear" w:pos="8306"/>
      </w:tabs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 xml:space="preserve">IOC/A-33/4.4.Doc(1) </w:t>
    </w:r>
    <w:r>
      <w:rPr>
        <w:rFonts w:cs="Arial"/>
        <w:sz w:val="20"/>
        <w:szCs w:val="20"/>
        <w:lang w:val="ru"/>
      </w:rPr>
      <w:t>– страница </w:t>
    </w:r>
    <w:r>
      <w:rPr>
        <w:rStyle w:val="PageNumber"/>
        <w:rFonts w:cs="Arial"/>
        <w:sz w:val="20"/>
        <w:szCs w:val="20"/>
        <w:lang w:val="ru"/>
      </w:rPr>
      <w:fldChar w:fldCharType="begin"/>
    </w:r>
    <w:r>
      <w:rPr>
        <w:rStyle w:val="PageNumber"/>
        <w:rFonts w:cs="Arial"/>
        <w:sz w:val="20"/>
        <w:szCs w:val="20"/>
        <w:lang w:val="ru"/>
      </w:rPr>
      <w:instrText xml:space="preserve"> PAGE </w:instrText>
    </w:r>
    <w:r>
      <w:rPr>
        <w:rStyle w:val="PageNumber"/>
        <w:rFonts w:cs="Arial"/>
        <w:sz w:val="20"/>
        <w:szCs w:val="20"/>
        <w:lang w:val="ru"/>
      </w:rPr>
      <w:fldChar w:fldCharType="separate"/>
    </w:r>
    <w:r>
      <w:rPr>
        <w:rStyle w:val="PageNumber"/>
        <w:rFonts w:cs="Arial"/>
        <w:noProof/>
        <w:sz w:val="20"/>
        <w:szCs w:val="20"/>
        <w:lang w:val="ru"/>
      </w:rPr>
      <w:t>4</w:t>
    </w:r>
    <w:r>
      <w:rPr>
        <w:rStyle w:val="PageNumber"/>
        <w:rFonts w:cs="Arial"/>
        <w:sz w:val="20"/>
        <w:szCs w:val="20"/>
        <w:lang w:val="ru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0F2C3" w14:textId="343C5C8B" w:rsidR="0037249C" w:rsidRPr="006842FA" w:rsidRDefault="00EA6689" w:rsidP="00AA2CD5">
    <w:pPr>
      <w:pStyle w:val="Header"/>
      <w:tabs>
        <w:tab w:val="clear" w:pos="8306"/>
      </w:tabs>
      <w:ind w:firstLine="6804"/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 xml:space="preserve">IOC/A-33/4.4.Doc(1) </w:t>
    </w:r>
    <w:r>
      <w:rPr>
        <w:rFonts w:cs="Arial"/>
        <w:sz w:val="20"/>
        <w:szCs w:val="20"/>
        <w:lang w:val="ru"/>
      </w:rPr>
      <w:t>– страница </w:t>
    </w:r>
    <w:r>
      <w:rPr>
        <w:rStyle w:val="PageNumber"/>
        <w:rFonts w:cs="Arial"/>
        <w:sz w:val="20"/>
        <w:szCs w:val="20"/>
        <w:lang w:val="ru"/>
      </w:rPr>
      <w:fldChar w:fldCharType="begin"/>
    </w:r>
    <w:r>
      <w:rPr>
        <w:rStyle w:val="PageNumber"/>
        <w:rFonts w:cs="Arial"/>
        <w:sz w:val="20"/>
        <w:szCs w:val="20"/>
        <w:lang w:val="ru"/>
      </w:rPr>
      <w:instrText xml:space="preserve"> PAGE </w:instrText>
    </w:r>
    <w:r>
      <w:rPr>
        <w:rStyle w:val="PageNumber"/>
        <w:rFonts w:cs="Arial"/>
        <w:sz w:val="20"/>
        <w:szCs w:val="20"/>
        <w:lang w:val="ru"/>
      </w:rPr>
      <w:fldChar w:fldCharType="separate"/>
    </w:r>
    <w:r>
      <w:rPr>
        <w:rStyle w:val="PageNumber"/>
        <w:rFonts w:cs="Arial"/>
        <w:noProof/>
        <w:sz w:val="20"/>
        <w:szCs w:val="20"/>
        <w:lang w:val="ru"/>
      </w:rPr>
      <w:t>3</w:t>
    </w:r>
    <w:r>
      <w:rPr>
        <w:rStyle w:val="PageNumber"/>
        <w:rFonts w:cs="Arial"/>
        <w:sz w:val="20"/>
        <w:szCs w:val="20"/>
        <w:lang w:val="ru"/>
      </w:rPr>
      <w:fldChar w:fldCharType="end"/>
    </w:r>
  </w:p>
  <w:p w14:paraId="6AAB52E1" w14:textId="77777777" w:rsidR="00441140" w:rsidRPr="00424DE6" w:rsidRDefault="00441140" w:rsidP="00AA2CD5">
    <w:pPr>
      <w:pStyle w:val="Header"/>
      <w:ind w:left="8364" w:firstLine="6804"/>
      <w:rPr>
        <w:rFonts w:cs="Arial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AF427" w14:textId="2E26F68C" w:rsidR="00307660" w:rsidRPr="006842FA" w:rsidRDefault="00242324" w:rsidP="00AA2CD5">
    <w:pPr>
      <w:pStyle w:val="Header"/>
      <w:tabs>
        <w:tab w:val="clear" w:pos="8306"/>
      </w:tabs>
      <w:ind w:right="119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 xml:space="preserve">IOC/A-33/4.4.Doc(1) </w:t>
    </w:r>
    <w:r>
      <w:rPr>
        <w:rFonts w:cs="Arial"/>
        <w:sz w:val="20"/>
        <w:szCs w:val="20"/>
        <w:lang w:val="ru"/>
      </w:rPr>
      <w:t>– страница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1D9043B"/>
    <w:multiLevelType w:val="hybridMultilevel"/>
    <w:tmpl w:val="F4167F0A"/>
    <w:lvl w:ilvl="0" w:tplc="043E3BCA">
      <w:start w:val="1"/>
      <w:numFmt w:val="decimal"/>
      <w:pStyle w:val="EX4text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2973"/>
    <w:multiLevelType w:val="hybridMultilevel"/>
    <w:tmpl w:val="B5FC1906"/>
    <w:lvl w:ilvl="0" w:tplc="C362FA3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1C9C"/>
    <w:multiLevelType w:val="hybridMultilevel"/>
    <w:tmpl w:val="23A85EFA"/>
    <w:lvl w:ilvl="0" w:tplc="CFBCE8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08B5D50"/>
    <w:multiLevelType w:val="hybridMultilevel"/>
    <w:tmpl w:val="72964D36"/>
    <w:lvl w:ilvl="0" w:tplc="6B565D4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54160"/>
    <w:multiLevelType w:val="hybridMultilevel"/>
    <w:tmpl w:val="1F568C2A"/>
    <w:lvl w:ilvl="0" w:tplc="D0469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B39E8"/>
    <w:multiLevelType w:val="hybridMultilevel"/>
    <w:tmpl w:val="62E8B2BC"/>
    <w:lvl w:ilvl="0" w:tplc="C0DC364A">
      <w:start w:val="1"/>
      <w:numFmt w:val="lowerRoman"/>
      <w:lvlText w:val="(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4513F4"/>
    <w:multiLevelType w:val="hybridMultilevel"/>
    <w:tmpl w:val="C7FA78FE"/>
    <w:lvl w:ilvl="0" w:tplc="280A53C2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8" w:hanging="360"/>
      </w:pPr>
    </w:lvl>
    <w:lvl w:ilvl="2" w:tplc="040C001B" w:tentative="1">
      <w:start w:val="1"/>
      <w:numFmt w:val="lowerRoman"/>
      <w:lvlText w:val="%3."/>
      <w:lvlJc w:val="right"/>
      <w:pPr>
        <w:ind w:left="2238" w:hanging="180"/>
      </w:pPr>
    </w:lvl>
    <w:lvl w:ilvl="3" w:tplc="040C000F" w:tentative="1">
      <w:start w:val="1"/>
      <w:numFmt w:val="decimal"/>
      <w:lvlText w:val="%4."/>
      <w:lvlJc w:val="left"/>
      <w:pPr>
        <w:ind w:left="2958" w:hanging="360"/>
      </w:pPr>
    </w:lvl>
    <w:lvl w:ilvl="4" w:tplc="040C0019" w:tentative="1">
      <w:start w:val="1"/>
      <w:numFmt w:val="lowerLetter"/>
      <w:lvlText w:val="%5."/>
      <w:lvlJc w:val="left"/>
      <w:pPr>
        <w:ind w:left="3678" w:hanging="360"/>
      </w:pPr>
    </w:lvl>
    <w:lvl w:ilvl="5" w:tplc="040C001B" w:tentative="1">
      <w:start w:val="1"/>
      <w:numFmt w:val="lowerRoman"/>
      <w:lvlText w:val="%6."/>
      <w:lvlJc w:val="right"/>
      <w:pPr>
        <w:ind w:left="4398" w:hanging="180"/>
      </w:pPr>
    </w:lvl>
    <w:lvl w:ilvl="6" w:tplc="040C000F" w:tentative="1">
      <w:start w:val="1"/>
      <w:numFmt w:val="decimal"/>
      <w:lvlText w:val="%7."/>
      <w:lvlJc w:val="left"/>
      <w:pPr>
        <w:ind w:left="5118" w:hanging="360"/>
      </w:pPr>
    </w:lvl>
    <w:lvl w:ilvl="7" w:tplc="040C0019" w:tentative="1">
      <w:start w:val="1"/>
      <w:numFmt w:val="lowerLetter"/>
      <w:lvlText w:val="%8."/>
      <w:lvlJc w:val="left"/>
      <w:pPr>
        <w:ind w:left="5838" w:hanging="360"/>
      </w:pPr>
    </w:lvl>
    <w:lvl w:ilvl="8" w:tplc="040C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9" w15:restartNumberingAfterBreak="0">
    <w:nsid w:val="30CC4714"/>
    <w:multiLevelType w:val="multilevel"/>
    <w:tmpl w:val="3F98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1" w15:restartNumberingAfterBreak="0">
    <w:nsid w:val="33D06747"/>
    <w:multiLevelType w:val="hybridMultilevel"/>
    <w:tmpl w:val="C4847498"/>
    <w:lvl w:ilvl="0" w:tplc="35405A98">
      <w:start w:val="5"/>
      <w:numFmt w:val="bullet"/>
      <w:lvlText w:val="-"/>
      <w:lvlJc w:val="left"/>
      <w:pPr>
        <w:ind w:left="1086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2" w15:restartNumberingAfterBreak="0">
    <w:nsid w:val="376F6CF5"/>
    <w:multiLevelType w:val="multilevel"/>
    <w:tmpl w:val="66C8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ED7D0D"/>
    <w:multiLevelType w:val="multilevel"/>
    <w:tmpl w:val="5B40FBF6"/>
    <w:lvl w:ilvl="0">
      <w:start w:val="1"/>
      <w:numFmt w:val="decimal"/>
      <w:lvlText w:val="%1"/>
      <w:lvlJc w:val="left"/>
      <w:pPr>
        <w:tabs>
          <w:tab w:val="num" w:pos="720"/>
        </w:tabs>
        <w:ind w:left="0" w:firstLine="709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16202C"/>
    <w:multiLevelType w:val="hybridMultilevel"/>
    <w:tmpl w:val="5C465BE8"/>
    <w:lvl w:ilvl="0" w:tplc="6B842CB8">
      <w:start w:val="1"/>
      <w:numFmt w:val="upperLetter"/>
      <w:lvlText w:val="%1."/>
      <w:lvlJc w:val="left"/>
      <w:pPr>
        <w:ind w:left="644" w:hanging="360"/>
      </w:pPr>
      <w:rPr>
        <w:rFonts w:ascii="Arial" w:eastAsia="Arial Unicode MS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30DC1"/>
    <w:multiLevelType w:val="hybridMultilevel"/>
    <w:tmpl w:val="F508E1DE"/>
    <w:lvl w:ilvl="0" w:tplc="865E46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04C64"/>
    <w:multiLevelType w:val="hybridMultilevel"/>
    <w:tmpl w:val="56C4212A"/>
    <w:lvl w:ilvl="0" w:tplc="AB30E35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C768C1"/>
    <w:multiLevelType w:val="hybridMultilevel"/>
    <w:tmpl w:val="D3E809BA"/>
    <w:lvl w:ilvl="0" w:tplc="82E6549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1307C"/>
    <w:multiLevelType w:val="hybridMultilevel"/>
    <w:tmpl w:val="800A9C98"/>
    <w:lvl w:ilvl="0" w:tplc="E53853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D1B24"/>
    <w:multiLevelType w:val="hybridMultilevel"/>
    <w:tmpl w:val="8FA8CC8A"/>
    <w:lvl w:ilvl="0" w:tplc="1BF863B4">
      <w:start w:val="1"/>
      <w:numFmt w:val="decimal"/>
      <w:lvlText w:val="%1."/>
      <w:lvlJc w:val="left"/>
      <w:pPr>
        <w:ind w:left="8100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7110" w:hanging="360"/>
      </w:pPr>
    </w:lvl>
    <w:lvl w:ilvl="2" w:tplc="0809001B" w:tentative="1">
      <w:start w:val="1"/>
      <w:numFmt w:val="lowerRoman"/>
      <w:lvlText w:val="%3."/>
      <w:lvlJc w:val="right"/>
      <w:pPr>
        <w:ind w:left="7830" w:hanging="180"/>
      </w:pPr>
    </w:lvl>
    <w:lvl w:ilvl="3" w:tplc="0809000F" w:tentative="1">
      <w:start w:val="1"/>
      <w:numFmt w:val="decimal"/>
      <w:lvlText w:val="%4."/>
      <w:lvlJc w:val="left"/>
      <w:pPr>
        <w:ind w:left="8550" w:hanging="360"/>
      </w:pPr>
    </w:lvl>
    <w:lvl w:ilvl="4" w:tplc="08090019" w:tentative="1">
      <w:start w:val="1"/>
      <w:numFmt w:val="lowerLetter"/>
      <w:lvlText w:val="%5."/>
      <w:lvlJc w:val="left"/>
      <w:pPr>
        <w:ind w:left="9270" w:hanging="360"/>
      </w:pPr>
    </w:lvl>
    <w:lvl w:ilvl="5" w:tplc="0809001B" w:tentative="1">
      <w:start w:val="1"/>
      <w:numFmt w:val="lowerRoman"/>
      <w:lvlText w:val="%6."/>
      <w:lvlJc w:val="right"/>
      <w:pPr>
        <w:ind w:left="9990" w:hanging="180"/>
      </w:pPr>
    </w:lvl>
    <w:lvl w:ilvl="6" w:tplc="0809000F" w:tentative="1">
      <w:start w:val="1"/>
      <w:numFmt w:val="decimal"/>
      <w:lvlText w:val="%7."/>
      <w:lvlJc w:val="left"/>
      <w:pPr>
        <w:ind w:left="10710" w:hanging="360"/>
      </w:pPr>
    </w:lvl>
    <w:lvl w:ilvl="7" w:tplc="08090019" w:tentative="1">
      <w:start w:val="1"/>
      <w:numFmt w:val="lowerLetter"/>
      <w:lvlText w:val="%8."/>
      <w:lvlJc w:val="left"/>
      <w:pPr>
        <w:ind w:left="11430" w:hanging="360"/>
      </w:pPr>
    </w:lvl>
    <w:lvl w:ilvl="8" w:tplc="080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20" w15:restartNumberingAfterBreak="0">
    <w:nsid w:val="601432EB"/>
    <w:multiLevelType w:val="hybridMultilevel"/>
    <w:tmpl w:val="5F0E0364"/>
    <w:lvl w:ilvl="0" w:tplc="957430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F256B"/>
    <w:multiLevelType w:val="multilevel"/>
    <w:tmpl w:val="A8647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744B35C5"/>
    <w:multiLevelType w:val="hybridMultilevel"/>
    <w:tmpl w:val="256E4662"/>
    <w:lvl w:ilvl="0" w:tplc="1AA6A1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87526"/>
    <w:multiLevelType w:val="multilevel"/>
    <w:tmpl w:val="023A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776214"/>
    <w:multiLevelType w:val="multilevel"/>
    <w:tmpl w:val="5ECAF156"/>
    <w:lvl w:ilvl="0">
      <w:start w:val="1"/>
      <w:numFmt w:val="decimal"/>
      <w:lvlText w:val="%1."/>
      <w:lvlJc w:val="left"/>
      <w:pPr>
        <w:ind w:left="43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0" w:hanging="1584"/>
      </w:pPr>
      <w:rPr>
        <w:rFonts w:hint="default"/>
      </w:rPr>
    </w:lvl>
  </w:abstractNum>
  <w:num w:numId="1" w16cid:durableId="572937752">
    <w:abstractNumId w:val="10"/>
  </w:num>
  <w:num w:numId="2" w16cid:durableId="1678075405">
    <w:abstractNumId w:val="16"/>
  </w:num>
  <w:num w:numId="3" w16cid:durableId="2006280147">
    <w:abstractNumId w:val="0"/>
  </w:num>
  <w:num w:numId="4" w16cid:durableId="1321991">
    <w:abstractNumId w:val="2"/>
  </w:num>
  <w:num w:numId="5" w16cid:durableId="1734548371">
    <w:abstractNumId w:val="4"/>
  </w:num>
  <w:num w:numId="6" w16cid:durableId="946540261">
    <w:abstractNumId w:val="16"/>
  </w:num>
  <w:num w:numId="7" w16cid:durableId="761416369">
    <w:abstractNumId w:val="16"/>
  </w:num>
  <w:num w:numId="8" w16cid:durableId="587884316">
    <w:abstractNumId w:val="23"/>
  </w:num>
  <w:num w:numId="9" w16cid:durableId="1526602520">
    <w:abstractNumId w:val="12"/>
  </w:num>
  <w:num w:numId="10" w16cid:durableId="1237016383">
    <w:abstractNumId w:val="9"/>
  </w:num>
  <w:num w:numId="11" w16cid:durableId="1680545545">
    <w:abstractNumId w:val="20"/>
  </w:num>
  <w:num w:numId="12" w16cid:durableId="566458689">
    <w:abstractNumId w:val="21"/>
  </w:num>
  <w:num w:numId="13" w16cid:durableId="247929692">
    <w:abstractNumId w:val="18"/>
  </w:num>
  <w:num w:numId="14" w16cid:durableId="696547056">
    <w:abstractNumId w:val="14"/>
  </w:num>
  <w:num w:numId="15" w16cid:durableId="1131822702">
    <w:abstractNumId w:val="24"/>
  </w:num>
  <w:num w:numId="16" w16cid:durableId="693461447">
    <w:abstractNumId w:val="11"/>
  </w:num>
  <w:num w:numId="17" w16cid:durableId="1102726446">
    <w:abstractNumId w:val="7"/>
  </w:num>
  <w:num w:numId="18" w16cid:durableId="35786334">
    <w:abstractNumId w:val="17"/>
  </w:num>
  <w:num w:numId="19" w16cid:durableId="2078891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2318763">
    <w:abstractNumId w:val="3"/>
  </w:num>
  <w:num w:numId="21" w16cid:durableId="1722483817">
    <w:abstractNumId w:val="16"/>
    <w:lvlOverride w:ilvl="0">
      <w:startOverride w:val="1"/>
    </w:lvlOverride>
  </w:num>
  <w:num w:numId="22" w16cid:durableId="1832406208">
    <w:abstractNumId w:val="16"/>
  </w:num>
  <w:num w:numId="23" w16cid:durableId="1749376128">
    <w:abstractNumId w:val="16"/>
  </w:num>
  <w:num w:numId="24" w16cid:durableId="1684891873">
    <w:abstractNumId w:val="8"/>
  </w:num>
  <w:num w:numId="25" w16cid:durableId="1624456666">
    <w:abstractNumId w:val="22"/>
  </w:num>
  <w:num w:numId="26" w16cid:durableId="669796030">
    <w:abstractNumId w:val="16"/>
  </w:num>
  <w:num w:numId="27" w16cid:durableId="1807312026">
    <w:abstractNumId w:val="5"/>
  </w:num>
  <w:num w:numId="28" w16cid:durableId="801994466">
    <w:abstractNumId w:val="6"/>
  </w:num>
  <w:num w:numId="29" w16cid:durableId="400448360">
    <w:abstractNumId w:val="1"/>
  </w:num>
  <w:num w:numId="30" w16cid:durableId="1931044810">
    <w:abstractNumId w:val="1"/>
  </w:num>
  <w:num w:numId="31" w16cid:durableId="359353575">
    <w:abstractNumId w:val="1"/>
  </w:num>
  <w:num w:numId="32" w16cid:durableId="189152868">
    <w:abstractNumId w:val="1"/>
  </w:num>
  <w:num w:numId="33" w16cid:durableId="1190411679">
    <w:abstractNumId w:val="1"/>
  </w:num>
  <w:num w:numId="34" w16cid:durableId="1090857255">
    <w:abstractNumId w:val="1"/>
  </w:num>
  <w:num w:numId="35" w16cid:durableId="128254715">
    <w:abstractNumId w:val="1"/>
  </w:num>
  <w:num w:numId="36" w16cid:durableId="1063483451">
    <w:abstractNumId w:val="1"/>
  </w:num>
  <w:num w:numId="37" w16cid:durableId="419177891">
    <w:abstractNumId w:val="1"/>
  </w:num>
  <w:num w:numId="38" w16cid:durableId="296492527">
    <w:abstractNumId w:val="1"/>
  </w:num>
  <w:num w:numId="39" w16cid:durableId="1734766860">
    <w:abstractNumId w:val="1"/>
  </w:num>
  <w:num w:numId="40" w16cid:durableId="567305042">
    <w:abstractNumId w:val="1"/>
  </w:num>
  <w:num w:numId="41" w16cid:durableId="1726948244">
    <w:abstractNumId w:val="19"/>
  </w:num>
  <w:num w:numId="42" w16cid:durableId="5571124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AC"/>
    <w:rsid w:val="000021BC"/>
    <w:rsid w:val="00010BBB"/>
    <w:rsid w:val="000156E0"/>
    <w:rsid w:val="00020AA1"/>
    <w:rsid w:val="000278A0"/>
    <w:rsid w:val="0003688F"/>
    <w:rsid w:val="00040227"/>
    <w:rsid w:val="000417CB"/>
    <w:rsid w:val="000560F7"/>
    <w:rsid w:val="00062051"/>
    <w:rsid w:val="00076BD8"/>
    <w:rsid w:val="00084687"/>
    <w:rsid w:val="00085274"/>
    <w:rsid w:val="00085D6A"/>
    <w:rsid w:val="00085D85"/>
    <w:rsid w:val="00086969"/>
    <w:rsid w:val="00090A62"/>
    <w:rsid w:val="000B276A"/>
    <w:rsid w:val="000B693C"/>
    <w:rsid w:val="000B7E2A"/>
    <w:rsid w:val="000C2EE5"/>
    <w:rsid w:val="000C38C8"/>
    <w:rsid w:val="000C61A0"/>
    <w:rsid w:val="000C6E08"/>
    <w:rsid w:val="000D16AC"/>
    <w:rsid w:val="000D5B8F"/>
    <w:rsid w:val="000E0239"/>
    <w:rsid w:val="000E3E1A"/>
    <w:rsid w:val="000E6EE5"/>
    <w:rsid w:val="000E73F9"/>
    <w:rsid w:val="000F0254"/>
    <w:rsid w:val="0010242E"/>
    <w:rsid w:val="001156AE"/>
    <w:rsid w:val="00123719"/>
    <w:rsid w:val="001241D7"/>
    <w:rsid w:val="0012479D"/>
    <w:rsid w:val="001370E4"/>
    <w:rsid w:val="00137BED"/>
    <w:rsid w:val="00137E97"/>
    <w:rsid w:val="001448C4"/>
    <w:rsid w:val="00152A1B"/>
    <w:rsid w:val="00155BA3"/>
    <w:rsid w:val="00163192"/>
    <w:rsid w:val="00166397"/>
    <w:rsid w:val="00167158"/>
    <w:rsid w:val="00171EF4"/>
    <w:rsid w:val="001732BA"/>
    <w:rsid w:val="00184B8E"/>
    <w:rsid w:val="001877F5"/>
    <w:rsid w:val="00196052"/>
    <w:rsid w:val="00196F31"/>
    <w:rsid w:val="001A037F"/>
    <w:rsid w:val="001A58AE"/>
    <w:rsid w:val="001A63A0"/>
    <w:rsid w:val="001B3B24"/>
    <w:rsid w:val="001C21FC"/>
    <w:rsid w:val="001C2C69"/>
    <w:rsid w:val="001C6455"/>
    <w:rsid w:val="001C7875"/>
    <w:rsid w:val="001D27FC"/>
    <w:rsid w:val="001D75DB"/>
    <w:rsid w:val="001E0980"/>
    <w:rsid w:val="001E7083"/>
    <w:rsid w:val="001E7522"/>
    <w:rsid w:val="001F5E0D"/>
    <w:rsid w:val="00203217"/>
    <w:rsid w:val="00207EAC"/>
    <w:rsid w:val="00217DF6"/>
    <w:rsid w:val="00223053"/>
    <w:rsid w:val="00242324"/>
    <w:rsid w:val="002579C2"/>
    <w:rsid w:val="002652F9"/>
    <w:rsid w:val="00274BB0"/>
    <w:rsid w:val="0027622C"/>
    <w:rsid w:val="002810CD"/>
    <w:rsid w:val="00285CF5"/>
    <w:rsid w:val="002A0AE0"/>
    <w:rsid w:val="002A19EF"/>
    <w:rsid w:val="002B282C"/>
    <w:rsid w:val="002B3141"/>
    <w:rsid w:val="002B7A48"/>
    <w:rsid w:val="002C7DE3"/>
    <w:rsid w:val="002D14C8"/>
    <w:rsid w:val="002D441C"/>
    <w:rsid w:val="002D52FA"/>
    <w:rsid w:val="002E0859"/>
    <w:rsid w:val="002E09D1"/>
    <w:rsid w:val="002E2C57"/>
    <w:rsid w:val="002E2D68"/>
    <w:rsid w:val="002E6768"/>
    <w:rsid w:val="002E6D7F"/>
    <w:rsid w:val="00305778"/>
    <w:rsid w:val="00307660"/>
    <w:rsid w:val="0031161D"/>
    <w:rsid w:val="003178E9"/>
    <w:rsid w:val="00317E5D"/>
    <w:rsid w:val="003404ED"/>
    <w:rsid w:val="00340A23"/>
    <w:rsid w:val="0034156B"/>
    <w:rsid w:val="00347E19"/>
    <w:rsid w:val="003623CC"/>
    <w:rsid w:val="003631A7"/>
    <w:rsid w:val="003640DC"/>
    <w:rsid w:val="00364C91"/>
    <w:rsid w:val="0037184C"/>
    <w:rsid w:val="0037249C"/>
    <w:rsid w:val="003756CF"/>
    <w:rsid w:val="0038059E"/>
    <w:rsid w:val="003805F5"/>
    <w:rsid w:val="00387AE8"/>
    <w:rsid w:val="00393543"/>
    <w:rsid w:val="003A0024"/>
    <w:rsid w:val="003A1612"/>
    <w:rsid w:val="003A561A"/>
    <w:rsid w:val="003A7860"/>
    <w:rsid w:val="003B3CAC"/>
    <w:rsid w:val="003B5530"/>
    <w:rsid w:val="003D3711"/>
    <w:rsid w:val="003E0E67"/>
    <w:rsid w:val="003F43F9"/>
    <w:rsid w:val="003F7186"/>
    <w:rsid w:val="004002D4"/>
    <w:rsid w:val="00413F17"/>
    <w:rsid w:val="004165C9"/>
    <w:rsid w:val="00424DE6"/>
    <w:rsid w:val="00434F47"/>
    <w:rsid w:val="0043609D"/>
    <w:rsid w:val="00441140"/>
    <w:rsid w:val="00451B96"/>
    <w:rsid w:val="004529B8"/>
    <w:rsid w:val="00454C74"/>
    <w:rsid w:val="00467E3F"/>
    <w:rsid w:val="004827E4"/>
    <w:rsid w:val="0048449B"/>
    <w:rsid w:val="00490261"/>
    <w:rsid w:val="0049221C"/>
    <w:rsid w:val="00497E20"/>
    <w:rsid w:val="004A135F"/>
    <w:rsid w:val="004A5784"/>
    <w:rsid w:val="004B4ECA"/>
    <w:rsid w:val="004B7BD6"/>
    <w:rsid w:val="004C1625"/>
    <w:rsid w:val="004D4543"/>
    <w:rsid w:val="004D6679"/>
    <w:rsid w:val="004E0B15"/>
    <w:rsid w:val="004F397F"/>
    <w:rsid w:val="004F7D6C"/>
    <w:rsid w:val="0050245B"/>
    <w:rsid w:val="00515584"/>
    <w:rsid w:val="00525395"/>
    <w:rsid w:val="00526572"/>
    <w:rsid w:val="0053255C"/>
    <w:rsid w:val="00536148"/>
    <w:rsid w:val="005407B6"/>
    <w:rsid w:val="00547068"/>
    <w:rsid w:val="0058198C"/>
    <w:rsid w:val="00587137"/>
    <w:rsid w:val="00590C03"/>
    <w:rsid w:val="005B2FDF"/>
    <w:rsid w:val="005B57CA"/>
    <w:rsid w:val="005B5B97"/>
    <w:rsid w:val="005C02B7"/>
    <w:rsid w:val="005C7A36"/>
    <w:rsid w:val="005C7D76"/>
    <w:rsid w:val="005D0ADD"/>
    <w:rsid w:val="005E1C99"/>
    <w:rsid w:val="005E544C"/>
    <w:rsid w:val="005E6889"/>
    <w:rsid w:val="005F4D23"/>
    <w:rsid w:val="005F6E3A"/>
    <w:rsid w:val="00602A67"/>
    <w:rsid w:val="006110DA"/>
    <w:rsid w:val="0062678D"/>
    <w:rsid w:val="006308BD"/>
    <w:rsid w:val="00633EA5"/>
    <w:rsid w:val="00637672"/>
    <w:rsid w:val="00676F33"/>
    <w:rsid w:val="0068128E"/>
    <w:rsid w:val="006842FA"/>
    <w:rsid w:val="0068682C"/>
    <w:rsid w:val="00687541"/>
    <w:rsid w:val="00690A0C"/>
    <w:rsid w:val="00690FD2"/>
    <w:rsid w:val="00693199"/>
    <w:rsid w:val="00694465"/>
    <w:rsid w:val="00696079"/>
    <w:rsid w:val="006A761F"/>
    <w:rsid w:val="006B2FDD"/>
    <w:rsid w:val="006B4B95"/>
    <w:rsid w:val="006B51BA"/>
    <w:rsid w:val="006B59E2"/>
    <w:rsid w:val="006B7489"/>
    <w:rsid w:val="006C18D9"/>
    <w:rsid w:val="006C1BDA"/>
    <w:rsid w:val="006C6449"/>
    <w:rsid w:val="006D1125"/>
    <w:rsid w:val="006D3998"/>
    <w:rsid w:val="006D5041"/>
    <w:rsid w:val="006E1454"/>
    <w:rsid w:val="006E3870"/>
    <w:rsid w:val="006E692F"/>
    <w:rsid w:val="006E7073"/>
    <w:rsid w:val="006F0C64"/>
    <w:rsid w:val="006F1F38"/>
    <w:rsid w:val="00703F52"/>
    <w:rsid w:val="00723A8F"/>
    <w:rsid w:val="00735830"/>
    <w:rsid w:val="007367B0"/>
    <w:rsid w:val="00737A18"/>
    <w:rsid w:val="00741CAA"/>
    <w:rsid w:val="007457B7"/>
    <w:rsid w:val="00746B89"/>
    <w:rsid w:val="007471D6"/>
    <w:rsid w:val="00762C36"/>
    <w:rsid w:val="00785386"/>
    <w:rsid w:val="007870B1"/>
    <w:rsid w:val="0079212B"/>
    <w:rsid w:val="007B1B9A"/>
    <w:rsid w:val="007C1458"/>
    <w:rsid w:val="007D3B71"/>
    <w:rsid w:val="007E4F92"/>
    <w:rsid w:val="007F78E8"/>
    <w:rsid w:val="00801754"/>
    <w:rsid w:val="008048D2"/>
    <w:rsid w:val="00806C60"/>
    <w:rsid w:val="00813CAF"/>
    <w:rsid w:val="008302D7"/>
    <w:rsid w:val="00831211"/>
    <w:rsid w:val="0084251A"/>
    <w:rsid w:val="00850CB1"/>
    <w:rsid w:val="00853565"/>
    <w:rsid w:val="00854DA0"/>
    <w:rsid w:val="00863113"/>
    <w:rsid w:val="00867FCD"/>
    <w:rsid w:val="00870C14"/>
    <w:rsid w:val="00870CE7"/>
    <w:rsid w:val="008754BE"/>
    <w:rsid w:val="00875ECD"/>
    <w:rsid w:val="008823B5"/>
    <w:rsid w:val="008849F0"/>
    <w:rsid w:val="0089077E"/>
    <w:rsid w:val="00891331"/>
    <w:rsid w:val="00891D09"/>
    <w:rsid w:val="00893AD3"/>
    <w:rsid w:val="0089563B"/>
    <w:rsid w:val="008A4F60"/>
    <w:rsid w:val="008A6E5C"/>
    <w:rsid w:val="008B2DC6"/>
    <w:rsid w:val="008B384B"/>
    <w:rsid w:val="008B4705"/>
    <w:rsid w:val="008B4C73"/>
    <w:rsid w:val="008D1EEC"/>
    <w:rsid w:val="008D2398"/>
    <w:rsid w:val="008D548F"/>
    <w:rsid w:val="008E3DD1"/>
    <w:rsid w:val="008F0FBC"/>
    <w:rsid w:val="008F5B6C"/>
    <w:rsid w:val="008F6942"/>
    <w:rsid w:val="009026D3"/>
    <w:rsid w:val="00936C3F"/>
    <w:rsid w:val="00937EF7"/>
    <w:rsid w:val="0094763F"/>
    <w:rsid w:val="00950A83"/>
    <w:rsid w:val="00952863"/>
    <w:rsid w:val="00961211"/>
    <w:rsid w:val="0096159B"/>
    <w:rsid w:val="00966A0F"/>
    <w:rsid w:val="00980050"/>
    <w:rsid w:val="00980720"/>
    <w:rsid w:val="00980B08"/>
    <w:rsid w:val="00987BBD"/>
    <w:rsid w:val="00993CA4"/>
    <w:rsid w:val="009A62A9"/>
    <w:rsid w:val="009B2E7D"/>
    <w:rsid w:val="009B63AB"/>
    <w:rsid w:val="009C0A89"/>
    <w:rsid w:val="009C13EF"/>
    <w:rsid w:val="009C15B1"/>
    <w:rsid w:val="009D30AD"/>
    <w:rsid w:val="009E48BD"/>
    <w:rsid w:val="009E6A03"/>
    <w:rsid w:val="009E78BB"/>
    <w:rsid w:val="009F2FC0"/>
    <w:rsid w:val="009F7769"/>
    <w:rsid w:val="00A01A30"/>
    <w:rsid w:val="00A02F9F"/>
    <w:rsid w:val="00A11697"/>
    <w:rsid w:val="00A14093"/>
    <w:rsid w:val="00A203FC"/>
    <w:rsid w:val="00A23B4A"/>
    <w:rsid w:val="00A25BC8"/>
    <w:rsid w:val="00A43E9C"/>
    <w:rsid w:val="00A51715"/>
    <w:rsid w:val="00A66FC7"/>
    <w:rsid w:val="00A67718"/>
    <w:rsid w:val="00A759A6"/>
    <w:rsid w:val="00A92572"/>
    <w:rsid w:val="00A92893"/>
    <w:rsid w:val="00A931AA"/>
    <w:rsid w:val="00AA2B13"/>
    <w:rsid w:val="00AA2CD5"/>
    <w:rsid w:val="00AB50B8"/>
    <w:rsid w:val="00AC32C8"/>
    <w:rsid w:val="00AC6A22"/>
    <w:rsid w:val="00AC6BA4"/>
    <w:rsid w:val="00AC773C"/>
    <w:rsid w:val="00AD3D55"/>
    <w:rsid w:val="00AD494A"/>
    <w:rsid w:val="00AD7234"/>
    <w:rsid w:val="00AE329C"/>
    <w:rsid w:val="00B042BC"/>
    <w:rsid w:val="00B06427"/>
    <w:rsid w:val="00B13226"/>
    <w:rsid w:val="00B37EDA"/>
    <w:rsid w:val="00B55C66"/>
    <w:rsid w:val="00B64631"/>
    <w:rsid w:val="00B722DE"/>
    <w:rsid w:val="00B73F4F"/>
    <w:rsid w:val="00B818D2"/>
    <w:rsid w:val="00B83068"/>
    <w:rsid w:val="00B838FB"/>
    <w:rsid w:val="00B94164"/>
    <w:rsid w:val="00BA0B22"/>
    <w:rsid w:val="00BA76D9"/>
    <w:rsid w:val="00BB5D00"/>
    <w:rsid w:val="00BC2FD9"/>
    <w:rsid w:val="00BC7416"/>
    <w:rsid w:val="00BD6603"/>
    <w:rsid w:val="00BD6E89"/>
    <w:rsid w:val="00BE35BA"/>
    <w:rsid w:val="00BE4427"/>
    <w:rsid w:val="00BE68DC"/>
    <w:rsid w:val="00BF069C"/>
    <w:rsid w:val="00BF1838"/>
    <w:rsid w:val="00BF378D"/>
    <w:rsid w:val="00BF3835"/>
    <w:rsid w:val="00BF45BD"/>
    <w:rsid w:val="00BF6786"/>
    <w:rsid w:val="00BF67E7"/>
    <w:rsid w:val="00C008B0"/>
    <w:rsid w:val="00C05769"/>
    <w:rsid w:val="00C1002D"/>
    <w:rsid w:val="00C11C55"/>
    <w:rsid w:val="00C12E5A"/>
    <w:rsid w:val="00C14DD3"/>
    <w:rsid w:val="00C16294"/>
    <w:rsid w:val="00C253EF"/>
    <w:rsid w:val="00C2635E"/>
    <w:rsid w:val="00C31853"/>
    <w:rsid w:val="00C318D0"/>
    <w:rsid w:val="00C42FFB"/>
    <w:rsid w:val="00C55528"/>
    <w:rsid w:val="00C6486C"/>
    <w:rsid w:val="00C648D3"/>
    <w:rsid w:val="00C6660D"/>
    <w:rsid w:val="00C674AF"/>
    <w:rsid w:val="00C7393A"/>
    <w:rsid w:val="00C75B02"/>
    <w:rsid w:val="00C76160"/>
    <w:rsid w:val="00C77DDE"/>
    <w:rsid w:val="00C86109"/>
    <w:rsid w:val="00C87727"/>
    <w:rsid w:val="00C962F0"/>
    <w:rsid w:val="00CB2684"/>
    <w:rsid w:val="00CC419E"/>
    <w:rsid w:val="00CC7056"/>
    <w:rsid w:val="00CD4AED"/>
    <w:rsid w:val="00CD6EF7"/>
    <w:rsid w:val="00CE1B68"/>
    <w:rsid w:val="00CE799A"/>
    <w:rsid w:val="00CF0138"/>
    <w:rsid w:val="00D013ED"/>
    <w:rsid w:val="00D0416A"/>
    <w:rsid w:val="00D06F71"/>
    <w:rsid w:val="00D166EE"/>
    <w:rsid w:val="00D2392E"/>
    <w:rsid w:val="00D265AD"/>
    <w:rsid w:val="00D27F78"/>
    <w:rsid w:val="00D36BDC"/>
    <w:rsid w:val="00D379A6"/>
    <w:rsid w:val="00D43CC7"/>
    <w:rsid w:val="00D448A1"/>
    <w:rsid w:val="00D44B24"/>
    <w:rsid w:val="00D5049E"/>
    <w:rsid w:val="00D55FEC"/>
    <w:rsid w:val="00D71125"/>
    <w:rsid w:val="00D859D0"/>
    <w:rsid w:val="00D91C09"/>
    <w:rsid w:val="00D92DD1"/>
    <w:rsid w:val="00D95CAD"/>
    <w:rsid w:val="00D96F5C"/>
    <w:rsid w:val="00DB1DFA"/>
    <w:rsid w:val="00DD2477"/>
    <w:rsid w:val="00DE35FF"/>
    <w:rsid w:val="00DE4579"/>
    <w:rsid w:val="00DE6237"/>
    <w:rsid w:val="00DF1664"/>
    <w:rsid w:val="00DF2FB9"/>
    <w:rsid w:val="00DF3AD0"/>
    <w:rsid w:val="00DF41FC"/>
    <w:rsid w:val="00E27F5E"/>
    <w:rsid w:val="00E334EB"/>
    <w:rsid w:val="00E354C3"/>
    <w:rsid w:val="00E454CD"/>
    <w:rsid w:val="00E55234"/>
    <w:rsid w:val="00E608A6"/>
    <w:rsid w:val="00E60CBC"/>
    <w:rsid w:val="00E63DEF"/>
    <w:rsid w:val="00E64936"/>
    <w:rsid w:val="00E71BD3"/>
    <w:rsid w:val="00E75CF6"/>
    <w:rsid w:val="00E86189"/>
    <w:rsid w:val="00EA168C"/>
    <w:rsid w:val="00EA6689"/>
    <w:rsid w:val="00EA6DDF"/>
    <w:rsid w:val="00EB52DB"/>
    <w:rsid w:val="00EC53C8"/>
    <w:rsid w:val="00EC753F"/>
    <w:rsid w:val="00EE0542"/>
    <w:rsid w:val="00EE11A0"/>
    <w:rsid w:val="00EE237B"/>
    <w:rsid w:val="00EF3957"/>
    <w:rsid w:val="00F10024"/>
    <w:rsid w:val="00F10F21"/>
    <w:rsid w:val="00F13BAA"/>
    <w:rsid w:val="00F26226"/>
    <w:rsid w:val="00F269BB"/>
    <w:rsid w:val="00F271BF"/>
    <w:rsid w:val="00F431C9"/>
    <w:rsid w:val="00F463F2"/>
    <w:rsid w:val="00F474F9"/>
    <w:rsid w:val="00F47A40"/>
    <w:rsid w:val="00F50B8E"/>
    <w:rsid w:val="00F5447C"/>
    <w:rsid w:val="00F56CDF"/>
    <w:rsid w:val="00F60A12"/>
    <w:rsid w:val="00F66E0A"/>
    <w:rsid w:val="00F7009F"/>
    <w:rsid w:val="00F70FD9"/>
    <w:rsid w:val="00F74494"/>
    <w:rsid w:val="00F8068F"/>
    <w:rsid w:val="00F8186D"/>
    <w:rsid w:val="00F8204B"/>
    <w:rsid w:val="00F82282"/>
    <w:rsid w:val="00FB3901"/>
    <w:rsid w:val="00FB4B68"/>
    <w:rsid w:val="00FB6A51"/>
    <w:rsid w:val="00FC0813"/>
    <w:rsid w:val="00FC3532"/>
    <w:rsid w:val="00FC54E1"/>
    <w:rsid w:val="00FE2557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04E3B1"/>
  <w15:docId w15:val="{A465CC3F-A5D9-4589-9960-2E4B7FC8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DE6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 w:eastAsia="en-US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autoRedefine/>
    <w:qFormat/>
    <w:rsid w:val="005C7A36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uiPriority w:val="99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aliases w:val="16 Point,Superscript 6 Point,BVI fnr,nota pié di pagina,ftref,Footnote Refernece,Footnote Reference Number,Footnotes refss,Footnote Reference1, BVI fnr,FO,footnote ref,(NECG) Footnote Reference,Ref,de nota al pie,Footnote,note bp"/>
    <w:link w:val="CarattereCharCarattereCarattereCharCarattereCharCarattereCharCharCharCharChar"/>
    <w:qFormat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37249C"/>
    <w:pPr>
      <w:tabs>
        <w:tab w:val="clear" w:pos="567"/>
        <w:tab w:val="left" w:pos="709"/>
      </w:tabs>
    </w:pPr>
    <w:rPr>
      <w:rFonts w:eastAsia="Arial Unicode MS" w:cs="Arial"/>
      <w:szCs w:val="22"/>
      <w:u w:val="single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caps/>
      <w:sz w:val="24"/>
    </w:rPr>
  </w:style>
  <w:style w:type="paragraph" w:styleId="BodyTextFirstIndent2">
    <w:name w:val="Body Text First Indent 2"/>
    <w:basedOn w:val="BodyTextIndent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3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numPr>
        <w:numId w:val="4"/>
      </w:numPr>
      <w:spacing w:after="240"/>
    </w:pPr>
  </w:style>
  <w:style w:type="character" w:customStyle="1" w:styleId="MargeChar">
    <w:name w:val="Marge Char"/>
    <w:basedOn w:val="ParChar"/>
    <w:link w:val="Marge"/>
    <w:uiPriority w:val="99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37249C"/>
    <w:rPr>
      <w:rFonts w:ascii="Arial" w:eastAsia="Arial Unicode MS" w:hAnsi="Arial" w:cs="Arial"/>
      <w:snapToGrid w:val="0"/>
      <w:sz w:val="22"/>
      <w:szCs w:val="22"/>
      <w:u w:val="single"/>
      <w:lang w:val="en-GB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C2635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6C60"/>
    <w:pPr>
      <w:tabs>
        <w:tab w:val="clear" w:pos="567"/>
      </w:tabs>
      <w:snapToGrid/>
      <w:spacing w:before="100" w:beforeAutospacing="1" w:after="100" w:afterAutospacing="1"/>
    </w:pPr>
    <w:rPr>
      <w:rFonts w:ascii="Times New Roman" w:hAnsi="Times New Roman"/>
      <w:snapToGrid/>
      <w:sz w:val="24"/>
      <w:lang w:val="fr-FR" w:eastAsia="fr-FR"/>
    </w:rPr>
  </w:style>
  <w:style w:type="character" w:styleId="Emphasis">
    <w:name w:val="Emphasis"/>
    <w:basedOn w:val="DefaultParagraphFont"/>
    <w:uiPriority w:val="20"/>
    <w:qFormat/>
    <w:rsid w:val="00D95CAD"/>
    <w:rPr>
      <w:i/>
      <w:iC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2FC0"/>
    <w:rPr>
      <w:rFonts w:ascii="Arial" w:hAnsi="Arial"/>
      <w:snapToGrid w:val="0"/>
      <w:lang w:val="en-GB" w:eastAsia="en-US"/>
    </w:rPr>
  </w:style>
  <w:style w:type="paragraph" w:styleId="CommentText">
    <w:name w:val="annotation text"/>
    <w:basedOn w:val="Normal"/>
    <w:link w:val="CommentTextChar"/>
    <w:rsid w:val="009F2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2FC0"/>
    <w:rPr>
      <w:rFonts w:ascii="Arial" w:hAnsi="Arial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F2FC0"/>
    <w:pPr>
      <w:tabs>
        <w:tab w:val="clear" w:pos="567"/>
        <w:tab w:val="left" w:pos="709"/>
      </w:tabs>
    </w:pPr>
    <w:rPr>
      <w:rFonts w:ascii="Times New Roman" w:eastAsia="SimSun" w:hAnsi="Times New Roman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F2FC0"/>
    <w:rPr>
      <w:rFonts w:ascii="Arial" w:eastAsia="SimSun" w:hAnsi="Arial"/>
      <w:b/>
      <w:bCs/>
      <w:snapToGrid w:val="0"/>
      <w:lang w:val="en-GB" w:eastAsia="zh-CN"/>
    </w:rPr>
  </w:style>
  <w:style w:type="paragraph" w:styleId="BalloonText">
    <w:name w:val="Balloon Text"/>
    <w:basedOn w:val="Normal"/>
    <w:link w:val="BalloonTextChar"/>
    <w:rsid w:val="00E75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5CF6"/>
    <w:rPr>
      <w:rFonts w:ascii="Tahoma" w:hAnsi="Tahoma" w:cs="Tahoma"/>
      <w:snapToGrid w:val="0"/>
      <w:sz w:val="16"/>
      <w:szCs w:val="16"/>
      <w:lang w:val="en-GB" w:eastAsia="en-US"/>
    </w:rPr>
  </w:style>
  <w:style w:type="paragraph" w:styleId="ListParagraph">
    <w:name w:val="List Paragraph"/>
    <w:aliases w:val="ADB List Paragraph,Dot pt,List Paragraph Char Char Char,Indicator Text,List Paragraph1,Numbered Para 1,List Paragraph12,Bullet Points,MAIN CONTENT,Bullet 1,Colorful List - Accent 11,Light Grid - Accent 31,References,Indent Paragraph,stil3"/>
    <w:basedOn w:val="Normal"/>
    <w:link w:val="ListParagraphChar"/>
    <w:uiPriority w:val="34"/>
    <w:qFormat/>
    <w:rsid w:val="00BE35BA"/>
    <w:pPr>
      <w:tabs>
        <w:tab w:val="clear" w:pos="567"/>
        <w:tab w:val="left" w:pos="709"/>
      </w:tabs>
      <w:snapToGrid/>
      <w:ind w:left="720"/>
      <w:contextualSpacing/>
      <w:jc w:val="both"/>
    </w:pPr>
    <w:rPr>
      <w:rFonts w:ascii="Times New Roman" w:hAnsi="Times New Roman"/>
      <w:snapToGrid/>
      <w:sz w:val="24"/>
      <w:szCs w:val="20"/>
    </w:rPr>
  </w:style>
  <w:style w:type="character" w:styleId="FollowedHyperlink">
    <w:name w:val="FollowedHyperlink"/>
    <w:basedOn w:val="DefaultParagraphFont"/>
    <w:semiHidden/>
    <w:unhideWhenUsed/>
    <w:rsid w:val="0089563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E1454"/>
    <w:rPr>
      <w:sz w:val="16"/>
      <w:szCs w:val="16"/>
    </w:rPr>
  </w:style>
  <w:style w:type="paragraph" w:styleId="Revision">
    <w:name w:val="Revision"/>
    <w:hidden/>
    <w:uiPriority w:val="99"/>
    <w:semiHidden/>
    <w:rsid w:val="006E1454"/>
    <w:rPr>
      <w:rFonts w:ascii="Arial" w:hAnsi="Arial"/>
      <w:snapToGrid w:val="0"/>
      <w:sz w:val="22"/>
      <w:szCs w:val="24"/>
      <w:lang w:val="en-GB" w:eastAsia="en-US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Normal"/>
    <w:link w:val="FootnoteReference"/>
    <w:rsid w:val="00C008B0"/>
    <w:pPr>
      <w:tabs>
        <w:tab w:val="clear" w:pos="567"/>
      </w:tabs>
      <w:snapToGrid/>
      <w:spacing w:before="120" w:after="160" w:line="240" w:lineRule="exact"/>
    </w:pPr>
    <w:rPr>
      <w:rFonts w:ascii="Times New Roman" w:hAnsi="Times New Roman"/>
      <w:snapToGrid/>
      <w:sz w:val="20"/>
      <w:szCs w:val="20"/>
      <w:vertAlign w:val="superscript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2324"/>
    <w:rPr>
      <w:color w:val="605E5C"/>
      <w:shd w:val="clear" w:color="auto" w:fill="E1DFDD"/>
    </w:rPr>
  </w:style>
  <w:style w:type="paragraph" w:customStyle="1" w:styleId="EX4subtitles">
    <w:name w:val="EX4 sub titles"/>
    <w:basedOn w:val="Normal"/>
    <w:link w:val="EX4subtitlesChar"/>
    <w:qFormat/>
    <w:rsid w:val="002E2D68"/>
    <w:pPr>
      <w:tabs>
        <w:tab w:val="clear" w:pos="567"/>
      </w:tabs>
      <w:autoSpaceDE w:val="0"/>
      <w:autoSpaceDN w:val="0"/>
      <w:adjustRightInd w:val="0"/>
      <w:snapToGrid/>
      <w:spacing w:before="240" w:after="160" w:line="276" w:lineRule="auto"/>
    </w:pPr>
    <w:rPr>
      <w:rFonts w:asciiTheme="minorBidi" w:eastAsiaTheme="minorEastAsia" w:hAnsiTheme="minorBidi" w:cstheme="minorBidi"/>
      <w:b/>
      <w:bCs/>
      <w:snapToGrid/>
      <w:color w:val="000000"/>
      <w:szCs w:val="22"/>
      <w:lang w:val="en-US" w:eastAsia="zh-CN"/>
    </w:rPr>
  </w:style>
  <w:style w:type="character" w:customStyle="1" w:styleId="EX4subtitlesChar">
    <w:name w:val="EX4 sub titles Char"/>
    <w:basedOn w:val="DefaultParagraphFont"/>
    <w:link w:val="EX4subtitles"/>
    <w:rsid w:val="002E2D68"/>
    <w:rPr>
      <w:rFonts w:asciiTheme="minorBidi" w:eastAsiaTheme="minorEastAsia" w:hAnsiTheme="minorBidi" w:cstheme="minorBidi"/>
      <w:b/>
      <w:bCs/>
      <w:color w:val="000000"/>
      <w:sz w:val="22"/>
      <w:szCs w:val="22"/>
      <w:lang w:val="en-US" w:eastAsia="zh-CN"/>
    </w:rPr>
  </w:style>
  <w:style w:type="paragraph" w:customStyle="1" w:styleId="EX4texte">
    <w:name w:val="EX4 texte"/>
    <w:basedOn w:val="Normal"/>
    <w:link w:val="EX4texteChar"/>
    <w:autoRedefine/>
    <w:qFormat/>
    <w:rsid w:val="00AA2CD5"/>
    <w:pPr>
      <w:numPr>
        <w:numId w:val="29"/>
      </w:numPr>
      <w:tabs>
        <w:tab w:val="clear" w:pos="567"/>
        <w:tab w:val="left" w:pos="854"/>
      </w:tabs>
      <w:spacing w:after="240"/>
      <w:ind w:left="0" w:firstLine="0"/>
      <w:jc w:val="both"/>
    </w:pPr>
    <w:rPr>
      <w:rFonts w:asciiTheme="minorBidi" w:eastAsia="SimSun" w:hAnsiTheme="minorBidi" w:cstheme="minorBidi"/>
      <w:shd w:val="clear" w:color="auto" w:fill="FFFFFF"/>
      <w:lang w:val="en-IN" w:eastAsia="zh-CN"/>
    </w:rPr>
  </w:style>
  <w:style w:type="character" w:customStyle="1" w:styleId="EX4texteChar">
    <w:name w:val="EX4 texte Char"/>
    <w:basedOn w:val="DefaultParagraphFont"/>
    <w:link w:val="EX4texte"/>
    <w:rsid w:val="00AA2CD5"/>
    <w:rPr>
      <w:rFonts w:asciiTheme="minorBidi" w:eastAsia="SimSun" w:hAnsiTheme="minorBidi" w:cstheme="minorBidi"/>
      <w:snapToGrid w:val="0"/>
      <w:sz w:val="22"/>
      <w:szCs w:val="24"/>
      <w:lang w:val="en-IN" w:eastAsia="zh-CN"/>
    </w:rPr>
  </w:style>
  <w:style w:type="character" w:customStyle="1" w:styleId="ListParagraphChar">
    <w:name w:val="List Paragraph Char"/>
    <w:aliases w:val="ADB List Paragraph Char,Dot pt Char,List Paragraph Char Char Char Char,Indicator Text Char,List Paragraph1 Char,Numbered Para 1 Char,List Paragraph12 Char,Bullet Points Char,MAIN CONTENT Char,Bullet 1 Char,Light Grid - Accent 31 Char"/>
    <w:basedOn w:val="DefaultParagraphFont"/>
    <w:link w:val="ListParagraph"/>
    <w:uiPriority w:val="34"/>
    <w:qFormat/>
    <w:locked/>
    <w:rsid w:val="00741CAA"/>
    <w:rPr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3A8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E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75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83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B6B6B6"/>
                                                <w:left w:val="single" w:sz="6" w:space="4" w:color="B6B6B6"/>
                                                <w:bottom w:val="single" w:sz="6" w:space="4" w:color="B6B6B6"/>
                                                <w:right w:val="single" w:sz="6" w:space="4" w:color="B6B6B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cument/28096" TargetMode="External"/><Relationship Id="rId13" Type="http://schemas.openxmlformats.org/officeDocument/2006/relationships/hyperlink" Target="https://unesdoc.unesco.org/ark:/48223/pf0000375265.locale=en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unesdoc.unesco.org/ark:/48223/pf0000259086.locale=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esdoc.unesco.org/ark:/48223/pf0000390082.locale=en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unesdoc.unesco.org/ark:/48223/pf0000381388.locale=en" TargetMode="Externa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www.oceanexpert.org/document/36272" TargetMode="External"/><Relationship Id="rId14" Type="http://schemas.openxmlformats.org/officeDocument/2006/relationships/hyperlink" Target="https://unesdoc.unesco.org/ark:/48223/pf0000390126.locale=en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_boned\AppData\Local\Microsoft\Windows\Temporary%20Internet%20Files\Content.Outlook\U6GEGBZT\Template%20WD-IOC2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18B0-5666-440B-8D2F-95A639E105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WD-IOC27.dotx</Template>
  <TotalTime>0</TotalTime>
  <Pages>13</Pages>
  <Words>2300</Words>
  <Characters>16750</Characters>
  <Application>Microsoft Office Word</Application>
  <DocSecurity>4</DocSecurity>
  <Lines>139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Road to the UN Year</vt:lpstr>
      <vt:lpstr>The Road to the UN Year</vt:lpstr>
    </vt:vector>
  </TitlesOfParts>
  <Company>UNESCO</Company>
  <LinksUpToDate>false</LinksUpToDate>
  <CharactersWithSpaces>19012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Road to the UN Year</dc:title>
  <dc:creator>Boned, Patrice</dc:creator>
  <cp:lastModifiedBy>Boned, Patrice</cp:lastModifiedBy>
  <cp:revision>2</cp:revision>
  <cp:lastPrinted>2025-04-16T20:08:00Z</cp:lastPrinted>
  <dcterms:created xsi:type="dcterms:W3CDTF">2025-05-23T15:52:00Z</dcterms:created>
  <dcterms:modified xsi:type="dcterms:W3CDTF">2025-05-23T15:52:00Z</dcterms:modified>
</cp:coreProperties>
</file>