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B83068" w:rsidRPr="007B00D3" w14:paraId="6E70F37C" w14:textId="77777777" w:rsidTr="00AA2CD5">
        <w:trPr>
          <w:jc w:val="center"/>
        </w:trPr>
        <w:tc>
          <w:tcPr>
            <w:tcW w:w="7792" w:type="dxa"/>
            <w:tcMar>
              <w:top w:w="170" w:type="dxa"/>
              <w:left w:w="170" w:type="dxa"/>
              <w:bottom w:w="170" w:type="dxa"/>
              <w:right w:w="170" w:type="dxa"/>
            </w:tcMar>
          </w:tcPr>
          <w:p w14:paraId="73D9152E" w14:textId="77777777" w:rsidR="00467E3F" w:rsidRPr="007B00D3" w:rsidRDefault="00B83068" w:rsidP="00853565">
            <w:pPr>
              <w:pStyle w:val="Marge"/>
              <w:jc w:val="center"/>
              <w:rPr>
                <w:rFonts w:cs="Arial"/>
                <w:szCs w:val="22"/>
                <w:lang w:val="fr-FR"/>
              </w:rPr>
            </w:pPr>
            <w:r>
              <w:rPr>
                <w:rFonts w:cs="Arial"/>
                <w:szCs w:val="22"/>
                <w:u w:val="single"/>
                <w:lang w:val="fr"/>
              </w:rPr>
              <w:t>Résumé</w:t>
            </w:r>
          </w:p>
          <w:p w14:paraId="7F57F480" w14:textId="0302336C" w:rsidR="00AC32C8" w:rsidRPr="007B00D3" w:rsidRDefault="00AC32C8" w:rsidP="00602A67">
            <w:pPr>
              <w:pStyle w:val="Marge"/>
              <w:spacing w:after="200"/>
              <w:rPr>
                <w:rFonts w:cs="Arial"/>
                <w:lang w:val="fr-FR"/>
              </w:rPr>
            </w:pPr>
            <w:r>
              <w:rPr>
                <w:rFonts w:cs="Arial"/>
                <w:lang w:val="fr"/>
              </w:rPr>
              <w:t>La décision A-31/3.5.4 (2021) a créé un groupe d’experts de la COI sur l’initiation à l’océan pour une période de quatre ans, le groupe devant rendre compte de ses activités aux États membres de la COI lors de la 33e session de l'Assemblée. Elle a également approuvé le Plan d'action de la COI pour l'initiation à l'océan 2018-2021 (</w:t>
            </w:r>
            <w:hyperlink r:id="rId8" w:history="1">
              <w:r>
                <w:rPr>
                  <w:rStyle w:val="Hyperlink"/>
                  <w:rFonts w:cs="Arial"/>
                  <w:lang w:val="fr"/>
                </w:rPr>
                <w:t>IOC/A-31/3.5.</w:t>
              </w:r>
              <w:proofErr w:type="gramStart"/>
              <w:r>
                <w:rPr>
                  <w:rStyle w:val="Hyperlink"/>
                  <w:rFonts w:cs="Arial"/>
                  <w:lang w:val="fr"/>
                </w:rPr>
                <w:t>4.Doc</w:t>
              </w:r>
              <w:proofErr w:type="gramEnd"/>
            </w:hyperlink>
            <w:r>
              <w:rPr>
                <w:rFonts w:cs="Arial"/>
                <w:lang w:val="fr"/>
              </w:rPr>
              <w:t>) comme document d'orientation pour les travaux du groupe d'experts pour la période de quatre ans. Un addendum à ce document avec l'explication détaillée des priorités pour l'initiation à l'océan complète ce document (en anglais uniquement).</w:t>
            </w:r>
          </w:p>
          <w:p w14:paraId="5B3F6C6A" w14:textId="33ACD2ED" w:rsidR="00515584" w:rsidRPr="007B00D3" w:rsidRDefault="00AC32C8" w:rsidP="00602A67">
            <w:pPr>
              <w:pStyle w:val="Marge"/>
              <w:spacing w:after="200"/>
              <w:rPr>
                <w:rFonts w:cs="Arial"/>
                <w:szCs w:val="22"/>
                <w:lang w:val="fr-FR"/>
              </w:rPr>
            </w:pPr>
            <w:r>
              <w:rPr>
                <w:rFonts w:cs="Arial"/>
                <w:lang w:val="fr"/>
              </w:rPr>
              <w:t xml:space="preserve">Ce document préparé par le Groupe d'experts présente un projet de Plan d'action actualisé de la COI pour l'initiation à l'océan pour 2026-2030, destiné à être examiné par l'Assemblée en vue de son adoption finale par le Conseil exécutif de la COI en 2026. </w:t>
            </w:r>
          </w:p>
          <w:p w14:paraId="1082367C" w14:textId="164080C5" w:rsidR="00515584" w:rsidRPr="007B00D3" w:rsidRDefault="00515584" w:rsidP="00C008B0">
            <w:pPr>
              <w:pStyle w:val="Marge"/>
              <w:rPr>
                <w:rFonts w:cs="Arial"/>
                <w:szCs w:val="22"/>
                <w:lang w:val="fr-FR"/>
              </w:rPr>
            </w:pPr>
            <w:r>
              <w:rPr>
                <w:rFonts w:cs="Arial"/>
                <w:lang w:val="fr"/>
              </w:rPr>
              <w:t xml:space="preserve">La </w:t>
            </w:r>
            <w:r>
              <w:rPr>
                <w:rFonts w:cs="Arial"/>
                <w:u w:val="single"/>
                <w:lang w:val="fr"/>
              </w:rPr>
              <w:t>décision proposée</w:t>
            </w:r>
            <w:r>
              <w:rPr>
                <w:rFonts w:cs="Arial"/>
                <w:lang w:val="fr"/>
              </w:rPr>
              <w:t xml:space="preserve"> est référencée </w:t>
            </w:r>
            <w:r>
              <w:rPr>
                <w:rFonts w:cs="Arial"/>
                <w:color w:val="000000"/>
                <w:lang w:val="fr"/>
              </w:rPr>
              <w:t>A-33/Dec.4.4</w:t>
            </w:r>
            <w:r>
              <w:rPr>
                <w:rFonts w:cs="Arial"/>
                <w:b/>
                <w:bCs/>
                <w:color w:val="000000"/>
                <w:lang w:val="fr"/>
              </w:rPr>
              <w:t xml:space="preserve"> </w:t>
            </w:r>
            <w:r>
              <w:rPr>
                <w:rFonts w:cs="Arial"/>
                <w:lang w:val="fr"/>
              </w:rPr>
              <w:t>dans le document d'action provisoire (</w:t>
            </w:r>
            <w:hyperlink r:id="rId9" w:history="1">
              <w:r>
                <w:rPr>
                  <w:rStyle w:val="Hyperlink"/>
                  <w:rFonts w:cs="Arial"/>
                  <w:lang w:val="fr"/>
                </w:rPr>
                <w:t>IOC/A-33/AP</w:t>
              </w:r>
            </w:hyperlink>
            <w:r>
              <w:rPr>
                <w:rFonts w:cs="Arial"/>
                <w:lang w:val="fr"/>
              </w:rPr>
              <w:t>) de la</w:t>
            </w:r>
            <w:r>
              <w:rPr>
                <w:rFonts w:cs="Arial"/>
                <w:szCs w:val="22"/>
                <w:lang w:val="fr"/>
              </w:rPr>
              <w:t xml:space="preserve"> 33e s</w:t>
            </w:r>
            <w:r>
              <w:rPr>
                <w:rFonts w:cs="Arial"/>
                <w:lang w:val="fr"/>
              </w:rPr>
              <w:t>ession de l'Assemblée de la COI.</w:t>
            </w:r>
          </w:p>
        </w:tc>
      </w:tr>
    </w:tbl>
    <w:p w14:paraId="7E39BDFA" w14:textId="2724C787" w:rsidR="00746B89" w:rsidRPr="007B00D3" w:rsidRDefault="00746B89" w:rsidP="005C7A36">
      <w:pPr>
        <w:pStyle w:val="Heading3"/>
        <w:rPr>
          <w:lang w:val="fr-FR"/>
        </w:rPr>
        <w:sectPr w:rsidR="00746B89" w:rsidRPr="007B00D3"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5EFCB24C" w14:textId="6158721D" w:rsidR="000B7E2A" w:rsidRPr="007B00D3" w:rsidRDefault="009E48BD" w:rsidP="000B7E2A">
      <w:pPr>
        <w:keepNext/>
        <w:keepLines/>
        <w:widowControl w:val="0"/>
        <w:adjustRightInd w:val="0"/>
        <w:spacing w:after="240"/>
        <w:ind w:left="567" w:hanging="567"/>
        <w:jc w:val="both"/>
        <w:textAlignment w:val="baseline"/>
        <w:outlineLvl w:val="1"/>
        <w:rPr>
          <w:rFonts w:cs="Arial"/>
          <w:b/>
          <w:bCs/>
          <w:caps/>
          <w:color w:val="000000" w:themeColor="text1"/>
          <w:szCs w:val="22"/>
          <w:lang w:val="fr-FR"/>
        </w:rPr>
      </w:pPr>
      <w:r>
        <w:rPr>
          <w:rFonts w:cs="Arial"/>
          <w:b/>
          <w:bCs/>
          <w:color w:val="000000" w:themeColor="text1"/>
          <w:szCs w:val="22"/>
          <w:lang w:val="fr"/>
        </w:rPr>
        <w:lastRenderedPageBreak/>
        <w:t>Introduction</w:t>
      </w:r>
    </w:p>
    <w:p w14:paraId="2FA8BA16" w14:textId="77777777" w:rsidR="009E48BD" w:rsidRPr="007B00D3" w:rsidRDefault="009E48BD" w:rsidP="00BC7416">
      <w:pPr>
        <w:pBdr>
          <w:top w:val="nil"/>
          <w:left w:val="nil"/>
          <w:bottom w:val="nil"/>
          <w:right w:val="nil"/>
          <w:between w:val="nil"/>
        </w:pBdr>
        <w:tabs>
          <w:tab w:val="left" w:pos="709"/>
        </w:tabs>
        <w:spacing w:after="120"/>
        <w:jc w:val="center"/>
        <w:rPr>
          <w:color w:val="000000"/>
          <w:lang w:val="fr-FR"/>
        </w:rPr>
      </w:pPr>
      <w:r>
        <w:rPr>
          <w:i/>
          <w:iCs/>
          <w:lang w:val="fr"/>
        </w:rPr>
        <w:t>« La connaissance des océans est la boussole qui nous guide vers un avenir durable. Elle nous permet de comprendre les enjeux, de relier les points et de prendre des mesures significatives. »</w:t>
      </w:r>
    </w:p>
    <w:p w14:paraId="76F7A3AC" w14:textId="77777777" w:rsidR="009E48BD" w:rsidRPr="007B00D3" w:rsidRDefault="009E48BD" w:rsidP="009E48BD">
      <w:pPr>
        <w:spacing w:after="240" w:line="276" w:lineRule="auto"/>
        <w:jc w:val="both"/>
        <w:rPr>
          <w:lang w:val="fr-FR"/>
        </w:rPr>
      </w:pPr>
      <w:r>
        <w:rPr>
          <w:lang w:val="fr"/>
        </w:rPr>
        <w:t>- Peter Thomson, envoyé spécial du Secrétaire général des Nations unies pour l'océan</w:t>
      </w:r>
    </w:p>
    <w:p w14:paraId="0D699EB6" w14:textId="50961A35"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L'océan est essentiel à la vie sur Terre, à la stabilité du climat, à la biodiversité et à la prospérité économique. Cependant, nos océans sont actuellement confrontés à de multiples menaces, notamment le changement climatique, la perte de biodiversité, la pollution et l'exploitation non durable des ressources. Pour relever ces défis, il faut une solide compréhension scientifique, des outils, des produits et des actions fondés sur la science pour la prise de décision, associés à une large sensibilisation du public, à l'élaboration de politiques éclairées et à un changement complet des comportements. La connaissance des océans, lorsqu'elle est mise en œuvre efficacement, fait le lien entre les sciences océaniques, la prise de décision et la compréhension de la société, ce qui permet des actions fondées sur la connaissance en faveur de la durabilité et de la conservation des océans.</w:t>
      </w:r>
    </w:p>
    <w:p w14:paraId="27FA582D" w14:textId="486EBB2C"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 xml:space="preserve">Depuis l'adoption du </w:t>
      </w:r>
      <w:hyperlink r:id="rId13" w:history="1">
        <w:r>
          <w:rPr>
            <w:rStyle w:val="Hyperlink"/>
            <w:rFonts w:ascii="Arial" w:hAnsi="Arial" w:cs="Arial"/>
            <w:i/>
            <w:iCs/>
            <w:sz w:val="22"/>
            <w:szCs w:val="22"/>
            <w:lang w:val="fr"/>
          </w:rPr>
          <w:t>Plan d'action de la COI pour l'initiation à l'océan (2018-2021)</w:t>
        </w:r>
      </w:hyperlink>
      <w:r>
        <w:rPr>
          <w:rFonts w:ascii="Arial" w:hAnsi="Arial" w:cs="Arial"/>
          <w:i/>
          <w:iCs/>
          <w:sz w:val="22"/>
          <w:szCs w:val="22"/>
          <w:lang w:val="fr"/>
        </w:rPr>
        <w:t>,</w:t>
      </w:r>
      <w:r>
        <w:rPr>
          <w:rFonts w:ascii="Arial" w:hAnsi="Arial" w:cs="Arial"/>
          <w:sz w:val="22"/>
          <w:szCs w:val="22"/>
          <w:lang w:val="fr"/>
        </w:rPr>
        <w:t xml:space="preserve"> les efforts axés sur la maîtrise de l'océan se sont considérablement développés et ont évolué au-delà des contextes éducatifs formels pour englober diverses perspectives, faisant progresser une restauration plus large de la relation de la société avec l'océan. Cette évolution reflète une reconnaissance plus profonde du rôle essentiel de l'océan dans les dimensions sociales, culturelles et économiques, soulignant la nécessité de stratégies et de cadres renouvelés. Elle est également reflétée dans le livre blanc de la Décennie des Nations Unies pour les sciences océaniques au service du développement durable (Vision 2030), qui porte sur le défi 10 : </w:t>
      </w:r>
      <w:hyperlink r:id="rId14" w:history="1">
        <w:r>
          <w:rPr>
            <w:rStyle w:val="Hyperlink"/>
            <w:rFonts w:ascii="Arial" w:hAnsi="Arial" w:cs="Arial"/>
            <w:i/>
            <w:iCs/>
            <w:sz w:val="22"/>
            <w:szCs w:val="22"/>
            <w:lang w:val="fr"/>
          </w:rPr>
          <w:t>« Rétablir la relation de la société avec l'océan »</w:t>
        </w:r>
      </w:hyperlink>
      <w:r>
        <w:rPr>
          <w:rFonts w:ascii="Arial" w:hAnsi="Arial" w:cs="Arial"/>
          <w:sz w:val="22"/>
          <w:szCs w:val="22"/>
          <w:lang w:val="fr"/>
        </w:rPr>
        <w:t>.</w:t>
      </w:r>
    </w:p>
    <w:p w14:paraId="4A1588B2" w14:textId="5E713F31"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 xml:space="preserve">L'UNESCO-COI a créé le Groupe d'experts sur l'initiation à l'océan par la décision A-31/3.5.4 de l'Assemblée de la COI en 2021. Cet organe pluridisciplinaire et multipartite a joué un rôle déterminant dans la mise en œuvre, la coordination et l'évolution des initiatives en matière d'éducation aux océans à l'échelle mondiale et régionale, que ce soit dans le cadre de la COI ou de manière plus générale. Son expertise et son expérience ont fourni des informations essentielles sur les pratiques efficaces, l'engagement des parties prenantes et les approches novatrices visant à rendre les sciences océanographiques accessibles et exploitables. Dans ce contexte, le groupe a apporté un soutien technique à la rédaction du « Plan d'action de la COI pour l'initiation à l'océan 2026-2030 », qui repose à la fois sur l'évaluation des progrès réalisés en ce qui concerne les priorités du Plan d'action de la COI pour l'initiation à l'océan 2018-2021 et sur les activités développées dans le cadre de la Décennie des Nations Unies pour les sciences océaniques au service du développement durable. </w:t>
      </w:r>
    </w:p>
    <w:p w14:paraId="3729E00B" w14:textId="22A39965"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 xml:space="preserve">En particulier, des progrès significatifs ont été réalisés dans le développement des capacités des enseignants et des éducateurs et d'autres groupes professionnels tels que les secteurs privé et public, les journalistes et les professionnels de la communication, ainsi que les architectes et les urbanistes. Ces cours de formation ont été développés et rendus publics en collaboration avec </w:t>
      </w:r>
      <w:proofErr w:type="spellStart"/>
      <w:r>
        <w:rPr>
          <w:rFonts w:ascii="Arial" w:hAnsi="Arial" w:cs="Arial"/>
          <w:sz w:val="22"/>
          <w:szCs w:val="22"/>
          <w:lang w:val="fr"/>
        </w:rPr>
        <w:t>l'Ocean</w:t>
      </w:r>
      <w:proofErr w:type="spellEnd"/>
      <w:r>
        <w:rPr>
          <w:rFonts w:ascii="Arial" w:hAnsi="Arial" w:cs="Arial"/>
          <w:sz w:val="22"/>
          <w:szCs w:val="22"/>
          <w:lang w:val="fr"/>
        </w:rPr>
        <w:t xml:space="preserve"> Teacher Global </w:t>
      </w:r>
      <w:proofErr w:type="spellStart"/>
      <w:r>
        <w:rPr>
          <w:rFonts w:ascii="Arial" w:hAnsi="Arial" w:cs="Arial"/>
          <w:sz w:val="22"/>
          <w:szCs w:val="22"/>
          <w:lang w:val="fr"/>
        </w:rPr>
        <w:t>Academy</w:t>
      </w:r>
      <w:proofErr w:type="spellEnd"/>
      <w:r>
        <w:rPr>
          <w:rFonts w:ascii="Arial" w:hAnsi="Arial" w:cs="Arial"/>
          <w:sz w:val="22"/>
          <w:szCs w:val="22"/>
          <w:lang w:val="fr"/>
        </w:rPr>
        <w:t xml:space="preserve"> (OTGA). En outre, des partenariats multipartites ont été établis, notamment avec le secteur privé, les médias et les organisations d'information, afin d'améliorer la portée et la visibilité de l'initiation à l'océan dans différents contextes et à différents niveaux. Cet objectif a été atteint grâce à l'organisation d'événements parallèles à l'initiation à l'océan dans le cadre d'événements majeurs liés à l'océan, tels que les Journées maritimes européennes, le Sommet mondial de l'océan, la deuxième Conférence des Nations unies sur l'Océan et la Conférence des Nations unies sur l'Eau. En outre, une base de données mondiale de ressources sur l'initiation à l'océan a été développée dans différentes langues et mise à disposition sur le portail Initiation à l'océan. La collaboration avec les groupes et réseaux nationaux d'experts en matière d'initiation à l'océan a également été renforcée dans le cadre du programme Ocean Literacy With All (OLWA) de la Décennie de l'Océan. La collaboration avec les secteurs de l'éducation et des sciences de l'UNESCO a été encouragée par le Programme Intersectoriel IP2 sur l'éducation à </w:t>
      </w:r>
      <w:r>
        <w:rPr>
          <w:rFonts w:ascii="Arial" w:hAnsi="Arial" w:cs="Arial"/>
          <w:sz w:val="22"/>
          <w:szCs w:val="22"/>
          <w:lang w:val="fr"/>
        </w:rPr>
        <w:lastRenderedPageBreak/>
        <w:t>l'environnement, qui vise à promouvoir les activités d'apprentissage et d'enseignement sur le changement climatique et l'environnement sur des sites désignés par l'UNESCO, à impliquer les écoles et les enseignants dans les communautés locales, et à collecter et partager les données et les efforts politiques sur la sensibilisation au changement climatique. Enfin, la mobilisation des ressources a été renforcée par l'établissement de partenariats avec différents types de donateurs.</w:t>
      </w:r>
    </w:p>
    <w:p w14:paraId="5C84D57E" w14:textId="422C18F2"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 xml:space="preserve">Aligné sur la </w:t>
      </w:r>
      <w:hyperlink r:id="rId15" w:history="1">
        <w:r>
          <w:rPr>
            <w:rStyle w:val="Hyperlink"/>
            <w:rFonts w:ascii="Arial" w:hAnsi="Arial" w:cs="Arial"/>
            <w:i/>
            <w:iCs/>
            <w:sz w:val="22"/>
            <w:szCs w:val="22"/>
            <w:lang w:val="fr"/>
          </w:rPr>
          <w:t>Stratégie à moyen terme de la COI (2022-2029)</w:t>
        </w:r>
      </w:hyperlink>
      <w:r>
        <w:rPr>
          <w:rFonts w:ascii="Arial" w:hAnsi="Arial" w:cs="Arial"/>
          <w:i/>
          <w:iCs/>
          <w:sz w:val="22"/>
          <w:szCs w:val="22"/>
          <w:lang w:val="fr"/>
        </w:rPr>
        <w:t>,</w:t>
      </w:r>
      <w:r>
        <w:rPr>
          <w:rFonts w:ascii="Arial" w:hAnsi="Arial" w:cs="Arial"/>
          <w:sz w:val="22"/>
          <w:szCs w:val="22"/>
          <w:lang w:val="fr"/>
        </w:rPr>
        <w:t xml:space="preserve"> le projet de Plan d'action de la COI pour l'initiation à l'océan pour 2026-2030 permet aux États membres d'atteindre tous les objectifs de haut niveau énoncés dans la stratégie, en faisant mieux comprendre le rôle de l'océan et des services qu'il fournit et en établissant une meilleure connexion entre la science, la politique et la société. L'objectif global de ce plan d'action est d'assurer la traduction des connaissances scientifiques océaniques en applications pratiques qui facilitent le soutien de la société à un avenir océanique durable.</w:t>
      </w:r>
    </w:p>
    <w:p w14:paraId="6EFF3842" w14:textId="0C81E18A"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Le plan d'action pour 2026-2030 met l'accent sur les activités menées dans le cadre de structures formelles, informelles et d'apprentissage tout au long de la vie, en se concentrant sur l'éducation, l'expérience et la sensibilisation, afin de renforcer la compréhension et la gestion des écosystèmes océaniques à l'échelle mondiale. En collaborant avec d'autres sections, programmes et initiatives de la COI, tels que le Système mondial d'observation de l'océan (GOOS), l'Échange international des données et de l'information océanographiques (IODE), l'Académie mondiale Ocean Teacher et les sous-commissions régionales de la COI, et en s'appuyant sur le Bureau de coordination du Défi 10 de la Décennie de l'Océan 10, ce plan d'action vise à favoriser une approche cohérente qui renforce l'impact collectif des résultats et des services scientifiques de la COI. Cela signifie qu'il faut reconnaître la diversité des perspectives culturelles et des connaissances écologiques traditionnelles, et que ces systèmes de connaissances doivent faire partie intégrante des programmes et des cadres d'initiation à l'océan. Cette approche inclusive garantit le respect et le soutien des communautés autochtones et locales et reconnaît leur rôle dans l'amélioration de l'efficacité de la gestion et de la conservation des océans.</w:t>
      </w:r>
    </w:p>
    <w:p w14:paraId="501E34FC" w14:textId="23ED2E64" w:rsidR="009E48BD"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Cette mise à jour du plan d'action de la COI reconnaît la nécessité d'un engagement soutenu des parties prenantes, du développement de ressources éducatives accessibles et inclusives basées sur la science du comportement, de stratégies de communication et d'évaluations de l'impact des programmes et activités d'initiation à l'océan. Les outils, produits et résultats de ces efforts combinés doteront les États membres des outils et des capacités nécessaires pour parvenir à une gestion scientifique éclairée et durable des océans et, en fin de compte, contribueront à la vision de l'actuelle Stratégie à moyen terme de la COI (2022-2029) : rassembler les gouvernements et la communauté scientifique pour parvenir à « l'océan dont nous avons besoin pour l'avenir que nous voulons. »</w:t>
      </w:r>
    </w:p>
    <w:p w14:paraId="57C26628" w14:textId="2A78D7BA" w:rsidR="000B7E2A" w:rsidRPr="007B00D3" w:rsidRDefault="009E48BD" w:rsidP="009E48BD">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Guidé par cette vision, le plan d'action souligne la nécessité d'une collaboration internationale, d'un échange de bonnes pratiques et de la promotion de partenariats solides, en particulier pour garantir que les connaissances océaniques soient pleinement exploitées afin de faire progresser et, en fin de compte, d'assurer une durabilité durable des océans.</w:t>
      </w:r>
    </w:p>
    <w:p w14:paraId="1E8E70D0" w14:textId="4C76A5A2" w:rsidR="00137BED" w:rsidRPr="007B00D3" w:rsidRDefault="003B3CAC" w:rsidP="00AA2CD5">
      <w:pPr>
        <w:spacing w:after="240"/>
        <w:jc w:val="both"/>
        <w:rPr>
          <w:b/>
          <w:lang w:val="fr-FR"/>
        </w:rPr>
      </w:pPr>
      <w:r>
        <w:rPr>
          <w:b/>
          <w:bCs/>
          <w:lang w:val="fr"/>
        </w:rPr>
        <w:t>Énoncé de vision</w:t>
      </w:r>
    </w:p>
    <w:p w14:paraId="27C89890" w14:textId="77777777" w:rsidR="003B3CAC" w:rsidRPr="007B00D3" w:rsidRDefault="003B3CAC" w:rsidP="003B3CAC">
      <w:pPr>
        <w:spacing w:before="240" w:after="240" w:line="276" w:lineRule="auto"/>
        <w:rPr>
          <w:i/>
          <w:lang w:val="fr-FR"/>
        </w:rPr>
      </w:pPr>
      <w:r>
        <w:rPr>
          <w:i/>
          <w:iCs/>
          <w:lang w:val="fr"/>
        </w:rPr>
        <w:t>« Grâce à la collaboration internationale, à l'échange de bonnes pratiques et au renforcement des partenariats, l'UNESCO-COI donne aux États membres les moyens d'améliorer l'initiation à l'océan, en traduisant l'es sciences océaniques en connaissances accessibles qui favorisent une action et une gouvernance durables pour l'océan dont nous avons besoin. »</w:t>
      </w:r>
    </w:p>
    <w:p w14:paraId="24C14907" w14:textId="520A8ABB" w:rsidR="003B3CAC" w:rsidRPr="007B00D3" w:rsidRDefault="00C55528" w:rsidP="00C55528">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 xml:space="preserve">Le tableau suivant présente la liste améliorée des priorités, des domaines d'action et des activités. L'alignement sur la </w:t>
      </w:r>
      <w:hyperlink r:id="rId16" w:history="1">
        <w:r>
          <w:rPr>
            <w:rStyle w:val="Hyperlink"/>
            <w:rFonts w:ascii="Arial" w:hAnsi="Arial" w:cs="Arial"/>
            <w:i/>
            <w:iCs/>
            <w:sz w:val="22"/>
            <w:szCs w:val="22"/>
            <w:lang w:val="fr"/>
          </w:rPr>
          <w:t>Stratégie de développement des capacités de la COI, 2023-2030</w:t>
        </w:r>
      </w:hyperlink>
      <w:r>
        <w:rPr>
          <w:rFonts w:ascii="Arial" w:hAnsi="Arial" w:cs="Arial"/>
          <w:sz w:val="22"/>
          <w:szCs w:val="22"/>
          <w:lang w:val="fr"/>
        </w:rPr>
        <w:t xml:space="preserve"> ainsi qu'avec la </w:t>
      </w:r>
      <w:hyperlink r:id="rId17" w:history="1">
        <w:r>
          <w:rPr>
            <w:rStyle w:val="Hyperlink"/>
            <w:rFonts w:ascii="Arial" w:hAnsi="Arial" w:cs="Arial"/>
            <w:i/>
            <w:iCs/>
            <w:sz w:val="22"/>
            <w:szCs w:val="22"/>
            <w:lang w:val="fr"/>
          </w:rPr>
          <w:t>Stratégie de communication et de sensibilisation de la COI pour la gestion des données et de l'information</w:t>
        </w:r>
      </w:hyperlink>
      <w:r>
        <w:rPr>
          <w:rFonts w:ascii="Arial" w:hAnsi="Arial" w:cs="Arial"/>
          <w:sz w:val="22"/>
          <w:szCs w:val="22"/>
          <w:lang w:val="fr"/>
        </w:rPr>
        <w:t xml:space="preserve"> sera assuré.</w:t>
      </w:r>
    </w:p>
    <w:p w14:paraId="3FC07FF9" w14:textId="77777777" w:rsidR="00086969" w:rsidRDefault="00086969" w:rsidP="00086969">
      <w:pPr>
        <w:pStyle w:val="Heading3"/>
      </w:pPr>
      <w:r>
        <w:rPr>
          <w:lang w:val="fr"/>
        </w:rPr>
        <w:lastRenderedPageBreak/>
        <w:t>Incidences financières et administratives</w:t>
      </w:r>
    </w:p>
    <w:p w14:paraId="56FA4919" w14:textId="77777777" w:rsidR="00086969" w:rsidRPr="007B00D3" w:rsidRDefault="00086969" w:rsidP="00086969">
      <w:pPr>
        <w:pStyle w:val="ListParagraph"/>
        <w:numPr>
          <w:ilvl w:val="0"/>
          <w:numId w:val="42"/>
        </w:numPr>
        <w:snapToGrid w:val="0"/>
        <w:spacing w:before="240" w:after="240"/>
        <w:ind w:left="0" w:firstLine="0"/>
        <w:contextualSpacing w:val="0"/>
        <w:rPr>
          <w:rFonts w:ascii="Arial" w:hAnsi="Arial" w:cs="Arial"/>
          <w:sz w:val="22"/>
          <w:szCs w:val="22"/>
          <w:lang w:val="fr-FR"/>
        </w:rPr>
      </w:pPr>
      <w:r>
        <w:rPr>
          <w:rFonts w:ascii="Arial" w:hAnsi="Arial" w:cs="Arial"/>
          <w:sz w:val="22"/>
          <w:szCs w:val="22"/>
          <w:lang w:val="fr"/>
        </w:rPr>
        <w:t>Les activités d'initiation à l'océan sont principalement financées par des contributions volontaires, bien qu'un financement au titre du budget ordinaire doive être trouvé dans le cadre de la contribution de la COI au Programme Intersectoriel 2 (IP2) sur la sensibilisation à l'environnement.</w:t>
      </w:r>
    </w:p>
    <w:p w14:paraId="075E8B01" w14:textId="058F3AA4" w:rsidR="00C55528" w:rsidRPr="007B00D3" w:rsidRDefault="00C55528">
      <w:pPr>
        <w:rPr>
          <w:lang w:val="fr-FR"/>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075"/>
        <w:gridCol w:w="3284"/>
      </w:tblGrid>
      <w:tr w:rsidR="00C55528" w:rsidRPr="00C55528" w14:paraId="5BB9453E" w14:textId="77777777" w:rsidTr="007B00D3">
        <w:trPr>
          <w:tblHeader/>
        </w:trPr>
        <w:tc>
          <w:tcPr>
            <w:tcW w:w="3270" w:type="dxa"/>
            <w:shd w:val="clear" w:color="auto" w:fill="F2F2F2" w:themeFill="background1" w:themeFillShade="F2"/>
            <w:tcMar>
              <w:top w:w="100" w:type="dxa"/>
              <w:left w:w="100" w:type="dxa"/>
              <w:bottom w:w="100" w:type="dxa"/>
              <w:right w:w="100" w:type="dxa"/>
            </w:tcMar>
          </w:tcPr>
          <w:p w14:paraId="1BF0C81E" w14:textId="6556FF14" w:rsidR="00C55528" w:rsidRPr="007B00D3" w:rsidRDefault="00C55528" w:rsidP="00980720">
            <w:pPr>
              <w:widowControl w:val="0"/>
              <w:spacing w:after="120"/>
              <w:jc w:val="center"/>
              <w:rPr>
                <w:rFonts w:cs="Arial"/>
                <w:b/>
                <w:szCs w:val="22"/>
                <w:lang w:val="fr-FR"/>
              </w:rPr>
            </w:pPr>
            <w:r>
              <w:rPr>
                <w:rFonts w:cs="Arial"/>
                <w:b/>
                <w:bCs/>
                <w:szCs w:val="22"/>
                <w:lang w:val="fr"/>
              </w:rPr>
              <w:t xml:space="preserve">Priorité renforcée </w:t>
            </w:r>
            <w:r>
              <w:rPr>
                <w:rFonts w:cs="Arial"/>
                <w:szCs w:val="22"/>
                <w:lang w:val="fr"/>
              </w:rPr>
              <w:br/>
            </w:r>
            <w:r>
              <w:rPr>
                <w:rFonts w:cs="Arial"/>
                <w:b/>
                <w:bCs/>
                <w:szCs w:val="22"/>
                <w:lang w:val="fr"/>
              </w:rPr>
              <w:t>pour l'initiation à l'océan</w:t>
            </w:r>
          </w:p>
        </w:tc>
        <w:tc>
          <w:tcPr>
            <w:tcW w:w="3075" w:type="dxa"/>
            <w:shd w:val="clear" w:color="auto" w:fill="F2F2F2" w:themeFill="background1" w:themeFillShade="F2"/>
            <w:tcMar>
              <w:top w:w="100" w:type="dxa"/>
              <w:left w:w="100" w:type="dxa"/>
              <w:bottom w:w="100" w:type="dxa"/>
              <w:right w:w="100" w:type="dxa"/>
            </w:tcMar>
          </w:tcPr>
          <w:p w14:paraId="7F39D700" w14:textId="77777777" w:rsidR="00C55528" w:rsidRPr="00C55528" w:rsidRDefault="00C55528" w:rsidP="00C55528">
            <w:pPr>
              <w:widowControl w:val="0"/>
              <w:spacing w:after="120"/>
              <w:jc w:val="center"/>
              <w:rPr>
                <w:rFonts w:cs="Arial"/>
                <w:b/>
                <w:szCs w:val="22"/>
              </w:rPr>
            </w:pPr>
            <w:r>
              <w:rPr>
                <w:rFonts w:cs="Arial"/>
                <w:b/>
                <w:bCs/>
                <w:szCs w:val="22"/>
                <w:lang w:val="fr"/>
              </w:rPr>
              <w:t>Domaine d'action</w:t>
            </w:r>
          </w:p>
        </w:tc>
        <w:tc>
          <w:tcPr>
            <w:tcW w:w="3284" w:type="dxa"/>
            <w:shd w:val="clear" w:color="auto" w:fill="F2F2F2" w:themeFill="background1" w:themeFillShade="F2"/>
            <w:tcMar>
              <w:top w:w="100" w:type="dxa"/>
              <w:left w:w="100" w:type="dxa"/>
              <w:bottom w:w="100" w:type="dxa"/>
              <w:right w:w="100" w:type="dxa"/>
            </w:tcMar>
          </w:tcPr>
          <w:p w14:paraId="68FA0C5D" w14:textId="77777777" w:rsidR="00C55528" w:rsidRPr="00C55528" w:rsidRDefault="00C55528" w:rsidP="00C55528">
            <w:pPr>
              <w:widowControl w:val="0"/>
              <w:spacing w:after="120"/>
              <w:jc w:val="center"/>
              <w:rPr>
                <w:rFonts w:cs="Arial"/>
                <w:b/>
                <w:szCs w:val="22"/>
              </w:rPr>
            </w:pPr>
            <w:r>
              <w:rPr>
                <w:rFonts w:cs="Arial"/>
                <w:b/>
                <w:bCs/>
                <w:szCs w:val="22"/>
                <w:lang w:val="fr"/>
              </w:rPr>
              <w:t>Activité</w:t>
            </w:r>
          </w:p>
        </w:tc>
      </w:tr>
      <w:tr w:rsidR="004D4543" w:rsidRPr="007B00D3" w14:paraId="65124EA4" w14:textId="77777777" w:rsidTr="007B00D3">
        <w:trPr>
          <w:trHeight w:val="4976"/>
        </w:trPr>
        <w:tc>
          <w:tcPr>
            <w:tcW w:w="3270" w:type="dxa"/>
            <w:vMerge w:val="restart"/>
            <w:shd w:val="clear" w:color="auto" w:fill="auto"/>
            <w:tcMar>
              <w:top w:w="100" w:type="dxa"/>
              <w:left w:w="100" w:type="dxa"/>
              <w:bottom w:w="100" w:type="dxa"/>
              <w:right w:w="100" w:type="dxa"/>
            </w:tcMar>
          </w:tcPr>
          <w:p w14:paraId="6DA24638" w14:textId="77777777" w:rsidR="004D4543" w:rsidRPr="007B00D3" w:rsidRDefault="004D4543" w:rsidP="00C55528">
            <w:pPr>
              <w:widowControl w:val="0"/>
              <w:spacing w:after="120"/>
              <w:rPr>
                <w:rFonts w:cs="Arial"/>
                <w:szCs w:val="22"/>
                <w:lang w:val="fr-FR"/>
              </w:rPr>
            </w:pPr>
            <w:r>
              <w:rPr>
                <w:rFonts w:cs="Arial"/>
                <w:b/>
                <w:bCs/>
                <w:szCs w:val="22"/>
                <w:highlight w:val="white"/>
                <w:lang w:val="fr"/>
              </w:rPr>
              <w:t xml:space="preserve">1. </w:t>
            </w:r>
            <w:r>
              <w:rPr>
                <w:rFonts w:cs="Arial"/>
                <w:b/>
                <w:bCs/>
                <w:szCs w:val="22"/>
                <w:lang w:val="fr"/>
              </w:rPr>
              <w:t>Intégration des concepts d'océanographie aux programmes des systèmes d'enseignement afin d'améliorer l'initiation à l'océan dans le monde</w:t>
            </w:r>
          </w:p>
        </w:tc>
        <w:tc>
          <w:tcPr>
            <w:tcW w:w="3075" w:type="dxa"/>
            <w:shd w:val="clear" w:color="auto" w:fill="auto"/>
            <w:tcMar>
              <w:top w:w="100" w:type="dxa"/>
              <w:left w:w="100" w:type="dxa"/>
              <w:bottom w:w="100" w:type="dxa"/>
              <w:right w:w="100" w:type="dxa"/>
            </w:tcMar>
          </w:tcPr>
          <w:p w14:paraId="71C54BE8" w14:textId="6067193D" w:rsidR="004D4543" w:rsidRPr="007B00D3" w:rsidRDefault="004D4543" w:rsidP="00C55528">
            <w:pPr>
              <w:widowControl w:val="0"/>
              <w:rPr>
                <w:rFonts w:cs="Arial"/>
                <w:szCs w:val="22"/>
                <w:highlight w:val="white"/>
                <w:lang w:val="fr-FR"/>
              </w:rPr>
            </w:pPr>
            <w:r>
              <w:rPr>
                <w:rFonts w:cs="Arial"/>
                <w:szCs w:val="22"/>
                <w:highlight w:val="white"/>
                <w:lang w:val="fr"/>
              </w:rPr>
              <w:t>1.1 Programmes d'enseignement formel, informel, non formel et d'apprentissage tout au long de la vie à tous les niveaux d'enseignement</w:t>
            </w:r>
          </w:p>
        </w:tc>
        <w:tc>
          <w:tcPr>
            <w:tcW w:w="3284" w:type="dxa"/>
            <w:shd w:val="clear" w:color="auto" w:fill="auto"/>
            <w:tcMar>
              <w:top w:w="100" w:type="dxa"/>
              <w:left w:w="100" w:type="dxa"/>
              <w:bottom w:w="100" w:type="dxa"/>
              <w:right w:w="100" w:type="dxa"/>
            </w:tcMar>
          </w:tcPr>
          <w:p w14:paraId="38FDFE8A" w14:textId="77777777" w:rsidR="004D4543" w:rsidRPr="007B00D3" w:rsidRDefault="004D4543" w:rsidP="00C55528">
            <w:pPr>
              <w:widowControl w:val="0"/>
              <w:spacing w:after="120"/>
              <w:rPr>
                <w:rFonts w:cs="Arial"/>
                <w:szCs w:val="22"/>
                <w:lang w:val="fr-FR"/>
              </w:rPr>
            </w:pPr>
            <w:r>
              <w:rPr>
                <w:rFonts w:cs="Arial"/>
                <w:szCs w:val="22"/>
                <w:highlight w:val="white"/>
                <w:lang w:val="fr"/>
              </w:rPr>
              <w:t xml:space="preserve">1.1.1 </w:t>
            </w:r>
            <w:r>
              <w:rPr>
                <w:rFonts w:cs="Arial"/>
                <w:szCs w:val="22"/>
                <w:lang w:val="fr"/>
              </w:rPr>
              <w:t xml:space="preserve">Promotion de l'adhésion des écoles des États membres au réseau Blue </w:t>
            </w:r>
            <w:proofErr w:type="spellStart"/>
            <w:r>
              <w:rPr>
                <w:rFonts w:cs="Arial"/>
                <w:szCs w:val="22"/>
                <w:lang w:val="fr"/>
              </w:rPr>
              <w:t>Schools</w:t>
            </w:r>
            <w:proofErr w:type="spellEnd"/>
            <w:r>
              <w:rPr>
                <w:rFonts w:cs="Arial"/>
                <w:szCs w:val="22"/>
                <w:lang w:val="fr"/>
              </w:rPr>
              <w:t xml:space="preserve"> afin de faciliter l'échange de bonnes pratiques entre les pays et la mise en œuvre de programmes d'enseignement fondés sur les océans et alignés sur les stratégies nationales. </w:t>
            </w:r>
          </w:p>
          <w:p w14:paraId="031AC655" w14:textId="77777777" w:rsidR="004D4543" w:rsidRPr="007B00D3" w:rsidRDefault="004D4543" w:rsidP="00C55528">
            <w:pPr>
              <w:widowControl w:val="0"/>
              <w:spacing w:after="120"/>
              <w:rPr>
                <w:rFonts w:cs="Arial"/>
                <w:szCs w:val="22"/>
                <w:highlight w:val="white"/>
                <w:lang w:val="fr-FR"/>
              </w:rPr>
            </w:pPr>
            <w:r>
              <w:rPr>
                <w:rFonts w:cs="Arial"/>
                <w:szCs w:val="22"/>
                <w:highlight w:val="white"/>
                <w:lang w:val="fr"/>
              </w:rPr>
              <w:t xml:space="preserve">1.1.2 </w:t>
            </w:r>
            <w:r>
              <w:rPr>
                <w:rFonts w:cs="Arial"/>
                <w:szCs w:val="22"/>
                <w:lang w:val="fr"/>
              </w:rPr>
              <w:t>Promotion de l'élaboration de matériel pédagogique spécifique à la région qui reflète les systèmes marins locaux, les défis et les liens culturels avec l'océan</w:t>
            </w:r>
          </w:p>
          <w:p w14:paraId="7670EBC8" w14:textId="6207E7E8" w:rsidR="004D4543" w:rsidRPr="007B00D3" w:rsidRDefault="004D4543" w:rsidP="00086969">
            <w:pPr>
              <w:widowControl w:val="0"/>
              <w:rPr>
                <w:rFonts w:cs="Arial"/>
                <w:szCs w:val="22"/>
                <w:highlight w:val="yellow"/>
                <w:lang w:val="fr-FR"/>
              </w:rPr>
            </w:pPr>
            <w:r>
              <w:rPr>
                <w:rFonts w:cs="Arial"/>
                <w:szCs w:val="22"/>
                <w:highlight w:val="white"/>
                <w:lang w:val="fr"/>
              </w:rPr>
              <w:t>1.1.3 Renforcement du développement des capacités des enseignants et des éducateurs.</w:t>
            </w:r>
          </w:p>
        </w:tc>
      </w:tr>
      <w:tr w:rsidR="004D4543" w:rsidRPr="007B00D3" w14:paraId="6212EC5A" w14:textId="77777777" w:rsidTr="007B00D3">
        <w:trPr>
          <w:trHeight w:val="2540"/>
        </w:trPr>
        <w:tc>
          <w:tcPr>
            <w:tcW w:w="3270" w:type="dxa"/>
            <w:vMerge/>
            <w:shd w:val="clear" w:color="auto" w:fill="auto"/>
            <w:tcMar>
              <w:top w:w="100" w:type="dxa"/>
              <w:left w:w="100" w:type="dxa"/>
              <w:bottom w:w="100" w:type="dxa"/>
              <w:right w:w="100" w:type="dxa"/>
            </w:tcMar>
          </w:tcPr>
          <w:p w14:paraId="101E2268"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6F1AAC65" w14:textId="77777777" w:rsidR="004D4543" w:rsidRPr="00C55528" w:rsidRDefault="004D4543" w:rsidP="004D4543">
            <w:pPr>
              <w:widowControl w:val="0"/>
              <w:rPr>
                <w:rFonts w:cs="Arial"/>
                <w:szCs w:val="22"/>
                <w:highlight w:val="white"/>
              </w:rPr>
            </w:pPr>
            <w:r>
              <w:rPr>
                <w:rFonts w:cs="Arial"/>
                <w:szCs w:val="22"/>
                <w:highlight w:val="white"/>
                <w:lang w:val="fr"/>
              </w:rPr>
              <w:t>1.2 Collaboration inter et transdisciplinaire</w:t>
            </w:r>
          </w:p>
        </w:tc>
        <w:tc>
          <w:tcPr>
            <w:tcW w:w="3284" w:type="dxa"/>
            <w:shd w:val="clear" w:color="auto" w:fill="auto"/>
            <w:tcMar>
              <w:top w:w="100" w:type="dxa"/>
              <w:left w:w="100" w:type="dxa"/>
              <w:bottom w:w="100" w:type="dxa"/>
              <w:right w:w="100" w:type="dxa"/>
            </w:tcMar>
          </w:tcPr>
          <w:p w14:paraId="1FC4F56C"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1.2.1 Renforcement des partenariats et des collaborations avec d'autres secteurs de l'UNESCO travaillant dans différentes disciplines</w:t>
            </w:r>
          </w:p>
          <w:p w14:paraId="6D549CDE"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1.2.2 Promotion de la valeur de disciplines multiples telles que les arts et les sciences sociales dans l'enseignement de l'océanographie</w:t>
            </w:r>
          </w:p>
        </w:tc>
      </w:tr>
      <w:tr w:rsidR="00C55528" w:rsidRPr="007B00D3" w14:paraId="59169C9F" w14:textId="77777777" w:rsidTr="007B00D3">
        <w:tc>
          <w:tcPr>
            <w:tcW w:w="3270" w:type="dxa"/>
            <w:shd w:val="clear" w:color="auto" w:fill="auto"/>
            <w:tcMar>
              <w:top w:w="100" w:type="dxa"/>
              <w:left w:w="100" w:type="dxa"/>
              <w:bottom w:w="100" w:type="dxa"/>
              <w:right w:w="100" w:type="dxa"/>
            </w:tcMar>
          </w:tcPr>
          <w:p w14:paraId="0A5FD481" w14:textId="77777777" w:rsidR="00C55528" w:rsidRPr="007B00D3" w:rsidRDefault="00C55528" w:rsidP="00C55528">
            <w:pPr>
              <w:widowControl w:val="0"/>
              <w:spacing w:after="120"/>
              <w:rPr>
                <w:rFonts w:cs="Arial"/>
                <w:b/>
                <w:szCs w:val="22"/>
                <w:highlight w:val="white"/>
                <w:lang w:val="fr-FR"/>
              </w:rPr>
            </w:pPr>
            <w:r>
              <w:rPr>
                <w:rFonts w:cs="Arial"/>
                <w:b/>
                <w:bCs/>
                <w:szCs w:val="22"/>
                <w:highlight w:val="white"/>
                <w:lang w:val="fr"/>
              </w:rPr>
              <w:t xml:space="preserve">2. </w:t>
            </w:r>
            <w:r>
              <w:rPr>
                <w:rFonts w:cs="Arial"/>
                <w:b/>
                <w:bCs/>
                <w:szCs w:val="22"/>
                <w:lang w:val="fr"/>
              </w:rPr>
              <w:t xml:space="preserve">Renforcement du dialogue et de la collaboration grâce à la participation de diverses parties prenantes aux discussions sur l’initiation à l’océan </w:t>
            </w:r>
          </w:p>
          <w:p w14:paraId="1968140F" w14:textId="77777777" w:rsidR="00C55528" w:rsidRPr="007B00D3" w:rsidRDefault="00C55528" w:rsidP="00C55528">
            <w:pPr>
              <w:widowControl w:val="0"/>
              <w:spacing w:after="120"/>
              <w:rPr>
                <w:rFonts w:cs="Arial"/>
                <w:szCs w:val="22"/>
                <w:lang w:val="fr-FR"/>
              </w:rPr>
            </w:pPr>
          </w:p>
        </w:tc>
        <w:tc>
          <w:tcPr>
            <w:tcW w:w="3075" w:type="dxa"/>
            <w:shd w:val="clear" w:color="auto" w:fill="auto"/>
            <w:tcMar>
              <w:top w:w="100" w:type="dxa"/>
              <w:left w:w="100" w:type="dxa"/>
              <w:bottom w:w="100" w:type="dxa"/>
              <w:right w:w="100" w:type="dxa"/>
            </w:tcMar>
          </w:tcPr>
          <w:p w14:paraId="48D649F5" w14:textId="77777777" w:rsidR="00C55528" w:rsidRPr="007B00D3" w:rsidRDefault="00C55528" w:rsidP="00C55528">
            <w:pPr>
              <w:widowControl w:val="0"/>
              <w:spacing w:after="120"/>
              <w:rPr>
                <w:rFonts w:cs="Arial"/>
                <w:szCs w:val="22"/>
                <w:highlight w:val="white"/>
                <w:lang w:val="fr-FR"/>
              </w:rPr>
            </w:pPr>
            <w:r>
              <w:rPr>
                <w:rFonts w:cs="Arial"/>
                <w:szCs w:val="22"/>
                <w:highlight w:val="white"/>
                <w:lang w:val="fr"/>
              </w:rPr>
              <w:t>2.1 Engagement inclusif et multidisciplinaire des parties prenantes</w:t>
            </w:r>
          </w:p>
        </w:tc>
        <w:tc>
          <w:tcPr>
            <w:tcW w:w="3284" w:type="dxa"/>
            <w:shd w:val="clear" w:color="auto" w:fill="auto"/>
            <w:tcMar>
              <w:top w:w="100" w:type="dxa"/>
              <w:left w:w="100" w:type="dxa"/>
              <w:bottom w:w="100" w:type="dxa"/>
              <w:right w:w="100" w:type="dxa"/>
            </w:tcMar>
          </w:tcPr>
          <w:p w14:paraId="5FE012EB" w14:textId="77777777" w:rsidR="00C55528" w:rsidRPr="007B00D3" w:rsidRDefault="00C55528" w:rsidP="00C55528">
            <w:pPr>
              <w:widowControl w:val="0"/>
              <w:spacing w:after="120"/>
              <w:rPr>
                <w:rFonts w:cs="Arial"/>
                <w:szCs w:val="22"/>
                <w:highlight w:val="white"/>
                <w:lang w:val="fr-FR"/>
              </w:rPr>
            </w:pPr>
            <w:r>
              <w:rPr>
                <w:rFonts w:cs="Arial"/>
                <w:szCs w:val="22"/>
                <w:highlight w:val="white"/>
                <w:lang w:val="fr"/>
              </w:rPr>
              <w:t>2.1.1 Mise en place de plates-formes et de réseaux régionaux et mondiaux pour l'échange intersectoriel et le codéveloppement d'initiatives en matière de connaissance des océans</w:t>
            </w:r>
          </w:p>
          <w:p w14:paraId="3242B62F" w14:textId="77777777" w:rsidR="00C55528" w:rsidRPr="007B00D3" w:rsidRDefault="00C55528" w:rsidP="00C55528">
            <w:pPr>
              <w:widowControl w:val="0"/>
              <w:spacing w:after="120"/>
              <w:rPr>
                <w:rFonts w:cs="Arial"/>
                <w:szCs w:val="22"/>
                <w:highlight w:val="white"/>
                <w:lang w:val="fr-FR"/>
              </w:rPr>
            </w:pPr>
            <w:r>
              <w:rPr>
                <w:rFonts w:cs="Arial"/>
                <w:szCs w:val="22"/>
                <w:highlight w:val="white"/>
                <w:lang w:val="fr"/>
              </w:rPr>
              <w:t xml:space="preserve">2.1.2 </w:t>
            </w:r>
            <w:r>
              <w:rPr>
                <w:rFonts w:cs="Arial"/>
                <w:szCs w:val="22"/>
                <w:lang w:val="fr"/>
              </w:rPr>
              <w:t xml:space="preserve">Renforcement de la collaboration avec les sous-commissions régionales de la COI afin de soutenir la </w:t>
            </w:r>
            <w:r>
              <w:rPr>
                <w:rFonts w:cs="Arial"/>
                <w:szCs w:val="22"/>
                <w:lang w:val="fr"/>
              </w:rPr>
              <w:lastRenderedPageBreak/>
              <w:t>coordination régionale des activités d'initiation à l'océan et le partage des connaissances et des ressources</w:t>
            </w:r>
          </w:p>
          <w:p w14:paraId="445409BB" w14:textId="59FC495D" w:rsidR="00C55528" w:rsidRPr="007B00D3" w:rsidRDefault="00C55528" w:rsidP="00C55528">
            <w:pPr>
              <w:widowControl w:val="0"/>
              <w:spacing w:after="120"/>
              <w:rPr>
                <w:rFonts w:cs="Arial"/>
                <w:szCs w:val="22"/>
                <w:highlight w:val="white"/>
                <w:lang w:val="fr-FR"/>
              </w:rPr>
            </w:pPr>
            <w:r>
              <w:rPr>
                <w:rFonts w:cs="Arial"/>
                <w:szCs w:val="22"/>
                <w:highlight w:val="white"/>
                <w:lang w:val="fr"/>
              </w:rPr>
              <w:t>2.1.3 Profiter des grands événements en ligne et hors ligne liés à l'océan pour accroître la portée de l'initiation à l'océan auprès de nouvelles parties prenantes potentielles</w:t>
            </w:r>
          </w:p>
          <w:p w14:paraId="670630E9" w14:textId="77777777" w:rsidR="00C55528" w:rsidRPr="007B00D3" w:rsidRDefault="00C55528" w:rsidP="00C55528">
            <w:pPr>
              <w:widowControl w:val="0"/>
              <w:spacing w:after="120"/>
              <w:rPr>
                <w:rFonts w:cs="Arial"/>
                <w:szCs w:val="22"/>
                <w:highlight w:val="white"/>
                <w:lang w:val="fr-FR"/>
              </w:rPr>
            </w:pPr>
            <w:r>
              <w:rPr>
                <w:rFonts w:cs="Arial"/>
                <w:szCs w:val="22"/>
                <w:highlight w:val="white"/>
                <w:lang w:val="fr"/>
              </w:rPr>
              <w:t xml:space="preserve">2.1.4 </w:t>
            </w:r>
            <w:proofErr w:type="spellStart"/>
            <w:r>
              <w:rPr>
                <w:rFonts w:cs="Arial"/>
                <w:szCs w:val="22"/>
                <w:lang w:val="fr"/>
              </w:rPr>
              <w:t>Co-concevoir</w:t>
            </w:r>
            <w:proofErr w:type="spellEnd"/>
            <w:r>
              <w:rPr>
                <w:rFonts w:cs="Arial"/>
                <w:szCs w:val="22"/>
                <w:lang w:val="fr"/>
              </w:rPr>
              <w:t xml:space="preserve"> et </w:t>
            </w:r>
            <w:proofErr w:type="spellStart"/>
            <w:r>
              <w:rPr>
                <w:rFonts w:cs="Arial"/>
                <w:szCs w:val="22"/>
                <w:lang w:val="fr"/>
              </w:rPr>
              <w:t>co-délivrer</w:t>
            </w:r>
            <w:proofErr w:type="spellEnd"/>
            <w:r>
              <w:rPr>
                <w:rFonts w:cs="Arial"/>
                <w:szCs w:val="22"/>
                <w:lang w:val="fr"/>
              </w:rPr>
              <w:t xml:space="preserve"> des opportunités d'initiation à l'océan avec divers acteurs et parties prenantes </w:t>
            </w:r>
          </w:p>
          <w:p w14:paraId="738F3CA6" w14:textId="77777777" w:rsidR="00C55528" w:rsidRPr="007B00D3" w:rsidRDefault="00C55528" w:rsidP="00C55528">
            <w:pPr>
              <w:widowControl w:val="0"/>
              <w:spacing w:after="120"/>
              <w:rPr>
                <w:rFonts w:cs="Arial"/>
                <w:szCs w:val="22"/>
                <w:highlight w:val="white"/>
                <w:lang w:val="fr-FR"/>
              </w:rPr>
            </w:pPr>
            <w:r>
              <w:rPr>
                <w:rFonts w:cs="Arial"/>
                <w:szCs w:val="22"/>
                <w:highlight w:val="white"/>
                <w:lang w:val="fr"/>
              </w:rPr>
              <w:t xml:space="preserve">2.1.5 Mise à disposition d'un espace numérique pour un dialogue continu avec les parties prenantes </w:t>
            </w:r>
          </w:p>
        </w:tc>
      </w:tr>
      <w:tr w:rsidR="004D4543" w:rsidRPr="007B00D3" w14:paraId="64CE77CF" w14:textId="77777777" w:rsidTr="007B00D3">
        <w:trPr>
          <w:trHeight w:val="781"/>
        </w:trPr>
        <w:tc>
          <w:tcPr>
            <w:tcW w:w="3270" w:type="dxa"/>
            <w:vMerge w:val="restart"/>
            <w:shd w:val="clear" w:color="auto" w:fill="auto"/>
            <w:tcMar>
              <w:top w:w="100" w:type="dxa"/>
              <w:left w:w="100" w:type="dxa"/>
              <w:bottom w:w="100" w:type="dxa"/>
              <w:right w:w="100" w:type="dxa"/>
            </w:tcMar>
          </w:tcPr>
          <w:p w14:paraId="53836464" w14:textId="77777777" w:rsidR="004D4543" w:rsidRPr="007B00D3" w:rsidRDefault="004D4543" w:rsidP="00C55528">
            <w:pPr>
              <w:widowControl w:val="0"/>
              <w:spacing w:after="120"/>
              <w:rPr>
                <w:rFonts w:cs="Arial"/>
                <w:b/>
                <w:szCs w:val="22"/>
                <w:highlight w:val="white"/>
                <w:lang w:val="fr-FR"/>
              </w:rPr>
            </w:pPr>
            <w:r>
              <w:rPr>
                <w:rFonts w:cs="Arial"/>
                <w:b/>
                <w:bCs/>
                <w:szCs w:val="22"/>
                <w:highlight w:val="white"/>
                <w:lang w:val="fr"/>
              </w:rPr>
              <w:lastRenderedPageBreak/>
              <w:t>3. Mise à disposition de ressources accessibles et inclusives sur l'initiation à l'océan</w:t>
            </w:r>
          </w:p>
        </w:tc>
        <w:tc>
          <w:tcPr>
            <w:tcW w:w="3075" w:type="dxa"/>
            <w:shd w:val="clear" w:color="auto" w:fill="auto"/>
            <w:tcMar>
              <w:top w:w="100" w:type="dxa"/>
              <w:left w:w="100" w:type="dxa"/>
              <w:bottom w:w="100" w:type="dxa"/>
              <w:right w:w="100" w:type="dxa"/>
            </w:tcMar>
          </w:tcPr>
          <w:p w14:paraId="029968E3" w14:textId="34E00D11" w:rsidR="004D4543" w:rsidRPr="007B00D3" w:rsidRDefault="004D4543" w:rsidP="00C55528">
            <w:pPr>
              <w:widowControl w:val="0"/>
              <w:spacing w:after="120"/>
              <w:rPr>
                <w:rFonts w:cs="Arial"/>
                <w:szCs w:val="22"/>
                <w:highlight w:val="white"/>
                <w:lang w:val="fr-FR"/>
              </w:rPr>
            </w:pPr>
            <w:r>
              <w:rPr>
                <w:rFonts w:cs="Arial"/>
                <w:szCs w:val="22"/>
                <w:highlight w:val="white"/>
                <w:lang w:val="fr"/>
              </w:rPr>
              <w:t>3.1 Évaluation du matériel existant en matière d'initiation à l'océan au niveau mondial</w:t>
            </w:r>
          </w:p>
        </w:tc>
        <w:tc>
          <w:tcPr>
            <w:tcW w:w="3284" w:type="dxa"/>
            <w:shd w:val="clear" w:color="auto" w:fill="auto"/>
            <w:tcMar>
              <w:top w:w="100" w:type="dxa"/>
              <w:left w:w="100" w:type="dxa"/>
              <w:bottom w:w="100" w:type="dxa"/>
              <w:right w:w="100" w:type="dxa"/>
            </w:tcMar>
          </w:tcPr>
          <w:p w14:paraId="4EE29081" w14:textId="66EE7C21" w:rsidR="004D4543" w:rsidRPr="007B00D3" w:rsidRDefault="004D4543" w:rsidP="00086969">
            <w:pPr>
              <w:widowControl w:val="0"/>
              <w:rPr>
                <w:rFonts w:cs="Arial"/>
                <w:szCs w:val="22"/>
                <w:highlight w:val="white"/>
                <w:lang w:val="fr-FR"/>
              </w:rPr>
            </w:pPr>
            <w:r>
              <w:rPr>
                <w:rFonts w:cs="Arial"/>
                <w:szCs w:val="22"/>
                <w:highlight w:val="white"/>
                <w:lang w:val="fr"/>
              </w:rPr>
              <w:t xml:space="preserve">3.1.1 </w:t>
            </w:r>
            <w:r>
              <w:rPr>
                <w:rFonts w:cs="Arial"/>
                <w:szCs w:val="22"/>
                <w:lang w:val="fr"/>
              </w:rPr>
              <w:t>Compilation et évaluation d'un recueil mondial de ressources sur l'initiation à l'océan</w:t>
            </w:r>
            <w:r>
              <w:rPr>
                <w:rFonts w:cs="Arial"/>
                <w:b/>
                <w:bCs/>
                <w:szCs w:val="22"/>
                <w:lang w:val="fr"/>
              </w:rPr>
              <w:t xml:space="preserve"> </w:t>
            </w:r>
          </w:p>
        </w:tc>
      </w:tr>
      <w:tr w:rsidR="004D4543" w:rsidRPr="007B00D3" w14:paraId="45BACE90" w14:textId="77777777" w:rsidTr="007B00D3">
        <w:trPr>
          <w:trHeight w:val="1764"/>
        </w:trPr>
        <w:tc>
          <w:tcPr>
            <w:tcW w:w="3270" w:type="dxa"/>
            <w:vMerge/>
            <w:shd w:val="clear" w:color="auto" w:fill="auto"/>
            <w:tcMar>
              <w:top w:w="100" w:type="dxa"/>
              <w:left w:w="100" w:type="dxa"/>
              <w:bottom w:w="100" w:type="dxa"/>
              <w:right w:w="100" w:type="dxa"/>
            </w:tcMar>
          </w:tcPr>
          <w:p w14:paraId="3BF60F42"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69B42DAB" w14:textId="59BCAC6F" w:rsidR="004D4543" w:rsidRPr="007B00D3" w:rsidRDefault="004D4543" w:rsidP="004D4543">
            <w:pPr>
              <w:widowControl w:val="0"/>
              <w:spacing w:after="120"/>
              <w:rPr>
                <w:rFonts w:cs="Arial"/>
                <w:szCs w:val="22"/>
                <w:lang w:val="fr-FR"/>
              </w:rPr>
            </w:pPr>
            <w:r>
              <w:rPr>
                <w:rFonts w:cs="Arial"/>
                <w:szCs w:val="22"/>
                <w:highlight w:val="white"/>
                <w:lang w:val="fr"/>
              </w:rPr>
              <w:t xml:space="preserve">3.2 </w:t>
            </w:r>
            <w:r>
              <w:rPr>
                <w:rFonts w:cs="Arial"/>
                <w:szCs w:val="22"/>
                <w:lang w:val="fr"/>
              </w:rPr>
              <w:t>Développement de ressources accessibles et inclusives sur l'initiation à l'océan</w:t>
            </w:r>
          </w:p>
        </w:tc>
        <w:tc>
          <w:tcPr>
            <w:tcW w:w="3284" w:type="dxa"/>
            <w:shd w:val="clear" w:color="auto" w:fill="auto"/>
            <w:tcMar>
              <w:top w:w="100" w:type="dxa"/>
              <w:left w:w="100" w:type="dxa"/>
              <w:bottom w:w="100" w:type="dxa"/>
              <w:right w:w="100" w:type="dxa"/>
            </w:tcMar>
          </w:tcPr>
          <w:p w14:paraId="4048D908" w14:textId="33218D96" w:rsidR="004D4543" w:rsidRPr="007B00D3" w:rsidRDefault="004D4543" w:rsidP="00086969">
            <w:pPr>
              <w:widowControl w:val="0"/>
              <w:rPr>
                <w:rFonts w:cs="Arial"/>
                <w:szCs w:val="22"/>
                <w:highlight w:val="white"/>
                <w:lang w:val="fr-FR"/>
              </w:rPr>
            </w:pPr>
            <w:r>
              <w:rPr>
                <w:rFonts w:cs="Arial"/>
                <w:szCs w:val="22"/>
                <w:highlight w:val="white"/>
                <w:lang w:val="fr"/>
              </w:rPr>
              <w:t xml:space="preserve">3.2.1 </w:t>
            </w:r>
            <w:r>
              <w:rPr>
                <w:rFonts w:cs="Arial"/>
                <w:szCs w:val="22"/>
                <w:lang w:val="fr"/>
              </w:rPr>
              <w:t>Production de ressources sur l’initiation à l’océan prenant en compte différentes approches culturelles et différents groupes cibles, notamment les groupes défavorisés ou sous-représentés</w:t>
            </w:r>
          </w:p>
        </w:tc>
      </w:tr>
      <w:tr w:rsidR="004D4543" w:rsidRPr="007B00D3" w14:paraId="1A06BF05" w14:textId="77777777" w:rsidTr="007B00D3">
        <w:trPr>
          <w:trHeight w:val="3550"/>
        </w:trPr>
        <w:tc>
          <w:tcPr>
            <w:tcW w:w="3270" w:type="dxa"/>
            <w:vMerge/>
            <w:shd w:val="clear" w:color="auto" w:fill="auto"/>
            <w:tcMar>
              <w:top w:w="100" w:type="dxa"/>
              <w:left w:w="100" w:type="dxa"/>
              <w:bottom w:w="100" w:type="dxa"/>
              <w:right w:w="100" w:type="dxa"/>
            </w:tcMar>
          </w:tcPr>
          <w:p w14:paraId="1BD2DBC3"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0345923F"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3.3 Distribution des ressources nouvelles et existantes</w:t>
            </w:r>
          </w:p>
        </w:tc>
        <w:tc>
          <w:tcPr>
            <w:tcW w:w="3284" w:type="dxa"/>
            <w:shd w:val="clear" w:color="auto" w:fill="auto"/>
            <w:tcMar>
              <w:top w:w="100" w:type="dxa"/>
              <w:left w:w="100" w:type="dxa"/>
              <w:bottom w:w="100" w:type="dxa"/>
              <w:right w:w="100" w:type="dxa"/>
            </w:tcMar>
          </w:tcPr>
          <w:p w14:paraId="6F091CB4"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3.3.1 Hébergement de toutes ces ressources pertinentes dans un centre unique en ligne</w:t>
            </w:r>
          </w:p>
          <w:p w14:paraId="4B9F237F"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3.3.2 Soutien à l'utilisation efficace de ces ressources par la création de projets pilotes et d'essais</w:t>
            </w:r>
          </w:p>
          <w:p w14:paraId="1F083C87"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 xml:space="preserve">3.3.3 </w:t>
            </w:r>
            <w:r>
              <w:rPr>
                <w:rFonts w:cs="Arial"/>
                <w:szCs w:val="22"/>
                <w:lang w:val="fr"/>
              </w:rPr>
              <w:t>Exploitation des réseaux existants de connaissance des océans pour créer des projets pilotes et des tests qui maximisent la distribution des ressources</w:t>
            </w:r>
          </w:p>
        </w:tc>
      </w:tr>
      <w:tr w:rsidR="004D4543" w:rsidRPr="007B00D3" w14:paraId="6E57062D" w14:textId="77777777" w:rsidTr="007B00D3">
        <w:trPr>
          <w:trHeight w:val="1870"/>
        </w:trPr>
        <w:tc>
          <w:tcPr>
            <w:tcW w:w="3270" w:type="dxa"/>
            <w:vMerge w:val="restart"/>
            <w:shd w:val="clear" w:color="auto" w:fill="auto"/>
            <w:tcMar>
              <w:top w:w="100" w:type="dxa"/>
              <w:left w:w="100" w:type="dxa"/>
              <w:bottom w:w="100" w:type="dxa"/>
              <w:right w:w="100" w:type="dxa"/>
            </w:tcMar>
          </w:tcPr>
          <w:p w14:paraId="5FD71CF5" w14:textId="77777777" w:rsidR="004D4543" w:rsidRPr="007B00D3" w:rsidRDefault="004D4543" w:rsidP="00C55528">
            <w:pPr>
              <w:widowControl w:val="0"/>
              <w:spacing w:after="120"/>
              <w:rPr>
                <w:rFonts w:cs="Arial"/>
                <w:szCs w:val="22"/>
                <w:lang w:val="fr-FR"/>
              </w:rPr>
            </w:pPr>
            <w:r>
              <w:rPr>
                <w:rFonts w:cs="Arial"/>
                <w:b/>
                <w:bCs/>
                <w:szCs w:val="22"/>
                <w:highlight w:val="white"/>
                <w:lang w:val="fr"/>
              </w:rPr>
              <w:lastRenderedPageBreak/>
              <w:t>4. Développement des capacités pour une gestion efficace des océans</w:t>
            </w:r>
          </w:p>
        </w:tc>
        <w:tc>
          <w:tcPr>
            <w:tcW w:w="3075" w:type="dxa"/>
            <w:shd w:val="clear" w:color="auto" w:fill="auto"/>
            <w:tcMar>
              <w:top w:w="100" w:type="dxa"/>
              <w:left w:w="100" w:type="dxa"/>
              <w:bottom w:w="100" w:type="dxa"/>
              <w:right w:w="100" w:type="dxa"/>
            </w:tcMar>
          </w:tcPr>
          <w:p w14:paraId="3096C5B4" w14:textId="7B48C5B9" w:rsidR="004D4543" w:rsidRPr="007B00D3" w:rsidRDefault="004D4543" w:rsidP="00C55528">
            <w:pPr>
              <w:widowControl w:val="0"/>
              <w:spacing w:after="120"/>
              <w:rPr>
                <w:rFonts w:cs="Arial"/>
                <w:szCs w:val="22"/>
                <w:highlight w:val="white"/>
                <w:lang w:val="fr-FR"/>
              </w:rPr>
            </w:pPr>
            <w:r>
              <w:rPr>
                <w:rFonts w:cs="Arial"/>
                <w:szCs w:val="22"/>
                <w:highlight w:val="white"/>
                <w:lang w:val="fr"/>
              </w:rPr>
              <w:t>4.1 Évaluation des capacités d'intendance actuelles dans le monde</w:t>
            </w:r>
          </w:p>
        </w:tc>
        <w:tc>
          <w:tcPr>
            <w:tcW w:w="3284" w:type="dxa"/>
            <w:shd w:val="clear" w:color="auto" w:fill="auto"/>
            <w:tcMar>
              <w:top w:w="100" w:type="dxa"/>
              <w:left w:w="100" w:type="dxa"/>
              <w:bottom w:w="100" w:type="dxa"/>
              <w:right w:w="100" w:type="dxa"/>
            </w:tcMar>
          </w:tcPr>
          <w:p w14:paraId="232B6641" w14:textId="77777777" w:rsidR="004D4543" w:rsidRPr="007B00D3" w:rsidRDefault="004D4543" w:rsidP="00C55528">
            <w:pPr>
              <w:widowControl w:val="0"/>
              <w:spacing w:after="120"/>
              <w:rPr>
                <w:rFonts w:cs="Arial"/>
                <w:szCs w:val="22"/>
                <w:highlight w:val="white"/>
                <w:lang w:val="fr-FR"/>
              </w:rPr>
            </w:pPr>
            <w:r>
              <w:rPr>
                <w:rFonts w:cs="Arial"/>
                <w:szCs w:val="22"/>
                <w:highlight w:val="white"/>
                <w:lang w:val="fr"/>
              </w:rPr>
              <w:t>4.1.1 Évaluation des besoins des différents groupes de parties prenantes</w:t>
            </w:r>
          </w:p>
          <w:p w14:paraId="0806221A" w14:textId="43609377" w:rsidR="004D4543" w:rsidRPr="007B00D3" w:rsidRDefault="004D4543" w:rsidP="00086969">
            <w:pPr>
              <w:widowControl w:val="0"/>
              <w:rPr>
                <w:rFonts w:cs="Arial"/>
                <w:szCs w:val="22"/>
                <w:highlight w:val="white"/>
                <w:lang w:val="fr-FR"/>
              </w:rPr>
            </w:pPr>
            <w:r>
              <w:rPr>
                <w:rFonts w:cs="Arial"/>
                <w:szCs w:val="22"/>
                <w:highlight w:val="white"/>
                <w:lang w:val="fr"/>
              </w:rPr>
              <w:t xml:space="preserve">4.1.2 Analyse des ressources et des possibilités existantes en matière de formation pour l'initiation à l'océan </w:t>
            </w:r>
          </w:p>
        </w:tc>
      </w:tr>
      <w:tr w:rsidR="004D4543" w:rsidRPr="007B00D3" w14:paraId="5F97EE52" w14:textId="77777777" w:rsidTr="007B00D3">
        <w:trPr>
          <w:trHeight w:val="2260"/>
        </w:trPr>
        <w:tc>
          <w:tcPr>
            <w:tcW w:w="3270" w:type="dxa"/>
            <w:vMerge/>
            <w:shd w:val="clear" w:color="auto" w:fill="auto"/>
            <w:tcMar>
              <w:top w:w="100" w:type="dxa"/>
              <w:left w:w="100" w:type="dxa"/>
              <w:bottom w:w="100" w:type="dxa"/>
              <w:right w:w="100" w:type="dxa"/>
            </w:tcMar>
          </w:tcPr>
          <w:p w14:paraId="01EE8280"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36111DED" w14:textId="126210A2" w:rsidR="004D4543" w:rsidRPr="007B00D3" w:rsidRDefault="004D4543" w:rsidP="004D4543">
            <w:pPr>
              <w:widowControl w:val="0"/>
              <w:spacing w:after="120"/>
              <w:rPr>
                <w:rFonts w:cs="Arial"/>
                <w:szCs w:val="22"/>
                <w:highlight w:val="white"/>
                <w:lang w:val="fr-FR"/>
              </w:rPr>
            </w:pPr>
            <w:r>
              <w:rPr>
                <w:rFonts w:cs="Arial"/>
                <w:szCs w:val="22"/>
                <w:highlight w:val="white"/>
                <w:lang w:val="fr"/>
              </w:rPr>
              <w:t>4.2 Élaboration de programmes visant à combler les lacunes en matière de capacités des parties prenantes</w:t>
            </w:r>
          </w:p>
        </w:tc>
        <w:tc>
          <w:tcPr>
            <w:tcW w:w="3284" w:type="dxa"/>
            <w:shd w:val="clear" w:color="auto" w:fill="auto"/>
            <w:tcMar>
              <w:top w:w="100" w:type="dxa"/>
              <w:left w:w="100" w:type="dxa"/>
              <w:bottom w:w="100" w:type="dxa"/>
              <w:right w:w="100" w:type="dxa"/>
            </w:tcMar>
          </w:tcPr>
          <w:p w14:paraId="6301083F"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4.2.1 Élaboration d'une stratégie de développement des capacités sur la base des résultats de l'évaluation des besoins</w:t>
            </w:r>
          </w:p>
          <w:p w14:paraId="49B5D422" w14:textId="7700286D" w:rsidR="004D4543" w:rsidRPr="007B00D3" w:rsidRDefault="004D4543" w:rsidP="004D4543">
            <w:pPr>
              <w:widowControl w:val="0"/>
              <w:spacing w:after="120"/>
              <w:rPr>
                <w:rFonts w:cs="Arial"/>
                <w:szCs w:val="22"/>
                <w:highlight w:val="white"/>
                <w:lang w:val="fr-FR"/>
              </w:rPr>
            </w:pPr>
            <w:r>
              <w:rPr>
                <w:rFonts w:cs="Arial"/>
                <w:szCs w:val="22"/>
                <w:highlight w:val="white"/>
                <w:lang w:val="fr"/>
              </w:rPr>
              <w:t xml:space="preserve">4.2.2 Élargissement de l'accès aux ressources et aux possibilités de formation pour toutes les parties prenantes </w:t>
            </w:r>
          </w:p>
        </w:tc>
      </w:tr>
      <w:tr w:rsidR="004D4543" w:rsidRPr="007B00D3" w14:paraId="5CF75C54" w14:textId="77777777" w:rsidTr="007B00D3">
        <w:trPr>
          <w:trHeight w:val="2515"/>
        </w:trPr>
        <w:tc>
          <w:tcPr>
            <w:tcW w:w="3270" w:type="dxa"/>
            <w:vMerge/>
            <w:shd w:val="clear" w:color="auto" w:fill="auto"/>
            <w:tcMar>
              <w:top w:w="100" w:type="dxa"/>
              <w:left w:w="100" w:type="dxa"/>
              <w:bottom w:w="100" w:type="dxa"/>
              <w:right w:w="100" w:type="dxa"/>
            </w:tcMar>
          </w:tcPr>
          <w:p w14:paraId="6DBE76B5"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3EDCF0B2"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4.3 Organisation d'opportunités pour développer des capacités adaptées aux besoins des différents groupes de parties prenantes</w:t>
            </w:r>
          </w:p>
        </w:tc>
        <w:tc>
          <w:tcPr>
            <w:tcW w:w="3284" w:type="dxa"/>
            <w:shd w:val="clear" w:color="auto" w:fill="auto"/>
            <w:tcMar>
              <w:top w:w="100" w:type="dxa"/>
              <w:left w:w="100" w:type="dxa"/>
              <w:bottom w:w="100" w:type="dxa"/>
              <w:right w:w="100" w:type="dxa"/>
            </w:tcMar>
          </w:tcPr>
          <w:p w14:paraId="78EB53F0" w14:textId="77777777" w:rsidR="004D4543" w:rsidRPr="007B00D3" w:rsidRDefault="004D4543" w:rsidP="004D4543">
            <w:pPr>
              <w:widowControl w:val="0"/>
              <w:spacing w:after="120"/>
              <w:rPr>
                <w:rFonts w:cs="Arial"/>
                <w:szCs w:val="22"/>
                <w:lang w:val="fr-FR"/>
              </w:rPr>
            </w:pPr>
            <w:r>
              <w:rPr>
                <w:rFonts w:cs="Arial"/>
                <w:szCs w:val="22"/>
                <w:lang w:val="fr"/>
              </w:rPr>
              <w:t>4.3.1 S'appuyer sur la réussite des Universités d'été sur l'initiation à l'océan et des initiatives menées par ECOP pour amplifier leur potentiel de développement des capacités</w:t>
            </w:r>
          </w:p>
          <w:p w14:paraId="3D0AA8B7" w14:textId="77777777" w:rsidR="004D4543" w:rsidRPr="007B00D3" w:rsidRDefault="004D4543" w:rsidP="00086969">
            <w:pPr>
              <w:widowControl w:val="0"/>
              <w:rPr>
                <w:rFonts w:cs="Arial"/>
                <w:szCs w:val="22"/>
                <w:highlight w:val="white"/>
                <w:lang w:val="fr-FR"/>
              </w:rPr>
            </w:pPr>
            <w:r>
              <w:rPr>
                <w:rFonts w:cs="Arial"/>
                <w:szCs w:val="22"/>
                <w:highlight w:val="white"/>
                <w:lang w:val="fr"/>
              </w:rPr>
              <w:t xml:space="preserve">4.3.2 Tirer parti de </w:t>
            </w:r>
            <w:proofErr w:type="spellStart"/>
            <w:r>
              <w:rPr>
                <w:rFonts w:cs="Arial"/>
                <w:szCs w:val="22"/>
                <w:highlight w:val="white"/>
                <w:lang w:val="fr"/>
              </w:rPr>
              <w:t>l'Ocean</w:t>
            </w:r>
            <w:proofErr w:type="spellEnd"/>
            <w:r>
              <w:rPr>
                <w:rFonts w:cs="Arial"/>
                <w:szCs w:val="22"/>
                <w:highlight w:val="white"/>
                <w:lang w:val="fr"/>
              </w:rPr>
              <w:t xml:space="preserve"> Teacher Global </w:t>
            </w:r>
            <w:proofErr w:type="spellStart"/>
            <w:r>
              <w:rPr>
                <w:rFonts w:cs="Arial"/>
                <w:szCs w:val="22"/>
                <w:highlight w:val="white"/>
                <w:lang w:val="fr"/>
              </w:rPr>
              <w:t>Academy</w:t>
            </w:r>
            <w:proofErr w:type="spellEnd"/>
            <w:r>
              <w:rPr>
                <w:rFonts w:cs="Arial"/>
                <w:szCs w:val="22"/>
                <w:highlight w:val="white"/>
                <w:lang w:val="fr"/>
              </w:rPr>
              <w:t xml:space="preserve"> pour fournir des ressources adaptées aux groupes cibles</w:t>
            </w:r>
          </w:p>
        </w:tc>
      </w:tr>
      <w:tr w:rsidR="004D4543" w:rsidRPr="007B00D3" w14:paraId="73CD8EA2" w14:textId="77777777" w:rsidTr="007B00D3">
        <w:trPr>
          <w:trHeight w:val="1500"/>
        </w:trPr>
        <w:tc>
          <w:tcPr>
            <w:tcW w:w="3270" w:type="dxa"/>
            <w:vMerge w:val="restart"/>
            <w:shd w:val="clear" w:color="auto" w:fill="auto"/>
            <w:tcMar>
              <w:top w:w="100" w:type="dxa"/>
              <w:left w:w="100" w:type="dxa"/>
              <w:bottom w:w="100" w:type="dxa"/>
              <w:right w:w="100" w:type="dxa"/>
            </w:tcMar>
          </w:tcPr>
          <w:p w14:paraId="1B94D82C" w14:textId="4D56FD33" w:rsidR="004D4543" w:rsidRPr="007B00D3" w:rsidRDefault="004D4543" w:rsidP="00C55528">
            <w:pPr>
              <w:widowControl w:val="0"/>
              <w:spacing w:after="120"/>
              <w:rPr>
                <w:rFonts w:cs="Arial"/>
                <w:szCs w:val="22"/>
                <w:highlight w:val="white"/>
                <w:lang w:val="fr-FR"/>
              </w:rPr>
            </w:pPr>
            <w:r>
              <w:rPr>
                <w:rFonts w:cs="Arial"/>
                <w:b/>
                <w:bCs/>
                <w:szCs w:val="22"/>
                <w:highlight w:val="white"/>
                <w:lang w:val="fr"/>
              </w:rPr>
              <w:t xml:space="preserve">5. </w:t>
            </w:r>
            <w:r>
              <w:rPr>
                <w:rFonts w:cs="Arial"/>
                <w:b/>
                <w:bCs/>
                <w:szCs w:val="22"/>
                <w:lang w:val="fr"/>
              </w:rPr>
              <w:t>Poursuite de la recherche sur les changements de comportement humain, la communication scientifique et l'impact de la connaissance des océans afin d'en améliorer l'efficacité</w:t>
            </w:r>
          </w:p>
        </w:tc>
        <w:tc>
          <w:tcPr>
            <w:tcW w:w="3075" w:type="dxa"/>
            <w:shd w:val="clear" w:color="auto" w:fill="auto"/>
            <w:tcMar>
              <w:top w:w="100" w:type="dxa"/>
              <w:left w:w="100" w:type="dxa"/>
              <w:bottom w:w="100" w:type="dxa"/>
              <w:right w:w="100" w:type="dxa"/>
            </w:tcMar>
          </w:tcPr>
          <w:p w14:paraId="4A1A1447" w14:textId="604174FF" w:rsidR="004D4543" w:rsidRPr="007B00D3" w:rsidRDefault="004D4543" w:rsidP="00980720">
            <w:pPr>
              <w:widowControl w:val="0"/>
              <w:spacing w:after="240"/>
              <w:rPr>
                <w:rFonts w:cs="Arial"/>
                <w:szCs w:val="22"/>
                <w:highlight w:val="white"/>
                <w:lang w:val="fr-FR"/>
              </w:rPr>
            </w:pPr>
            <w:r>
              <w:rPr>
                <w:rFonts w:cs="Arial"/>
                <w:szCs w:val="22"/>
                <w:highlight w:val="white"/>
                <w:lang w:val="fr"/>
              </w:rPr>
              <w:t>5.1 Création de réseaux d'experts sur le changement de comportement, la communication scientifique et l'évaluation des impacts</w:t>
            </w:r>
          </w:p>
        </w:tc>
        <w:tc>
          <w:tcPr>
            <w:tcW w:w="3284" w:type="dxa"/>
            <w:shd w:val="clear" w:color="auto" w:fill="auto"/>
            <w:tcMar>
              <w:top w:w="100" w:type="dxa"/>
              <w:left w:w="100" w:type="dxa"/>
              <w:bottom w:w="100" w:type="dxa"/>
              <w:right w:w="100" w:type="dxa"/>
            </w:tcMar>
          </w:tcPr>
          <w:p w14:paraId="2EF122B7" w14:textId="38F17002" w:rsidR="004D4543" w:rsidRPr="007B00D3" w:rsidRDefault="004D4543" w:rsidP="004D4543">
            <w:pPr>
              <w:widowControl w:val="0"/>
              <w:shd w:val="clear" w:color="auto" w:fill="FFFFFF"/>
              <w:spacing w:after="240"/>
              <w:rPr>
                <w:rFonts w:cs="Arial"/>
                <w:szCs w:val="22"/>
                <w:highlight w:val="white"/>
                <w:lang w:val="fr-FR"/>
              </w:rPr>
            </w:pPr>
            <w:r>
              <w:rPr>
                <w:rFonts w:cs="Arial"/>
                <w:szCs w:val="22"/>
                <w:highlight w:val="white"/>
                <w:lang w:val="fr"/>
              </w:rPr>
              <w:t>5.1.1 Identification d'experts dans les domaines du changement de comportement, de la communication scientifique et de l'évaluation des impacts</w:t>
            </w:r>
          </w:p>
        </w:tc>
      </w:tr>
      <w:tr w:rsidR="004D4543" w:rsidRPr="007B00D3" w14:paraId="124AF74E" w14:textId="77777777" w:rsidTr="007B00D3">
        <w:trPr>
          <w:trHeight w:val="3450"/>
        </w:trPr>
        <w:tc>
          <w:tcPr>
            <w:tcW w:w="3270" w:type="dxa"/>
            <w:vMerge/>
            <w:shd w:val="clear" w:color="auto" w:fill="auto"/>
            <w:tcMar>
              <w:top w:w="100" w:type="dxa"/>
              <w:left w:w="100" w:type="dxa"/>
              <w:bottom w:w="100" w:type="dxa"/>
              <w:right w:w="100" w:type="dxa"/>
            </w:tcMar>
          </w:tcPr>
          <w:p w14:paraId="1A35B49F"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195EEEFD" w14:textId="79CCFCE3" w:rsidR="004D4543" w:rsidRPr="007B00D3" w:rsidRDefault="004D4543" w:rsidP="004D4543">
            <w:pPr>
              <w:widowControl w:val="0"/>
              <w:spacing w:after="120"/>
              <w:rPr>
                <w:rFonts w:cs="Arial"/>
                <w:szCs w:val="22"/>
                <w:highlight w:val="white"/>
                <w:lang w:val="fr-FR"/>
              </w:rPr>
            </w:pPr>
            <w:r>
              <w:rPr>
                <w:rFonts w:cs="Arial"/>
                <w:szCs w:val="22"/>
                <w:highlight w:val="white"/>
                <w:lang w:val="fr"/>
              </w:rPr>
              <w:t>5.2 Développement d'outils pour le changement de comportement, la communication scientifique et l'évaluation des impacts</w:t>
            </w:r>
          </w:p>
        </w:tc>
        <w:tc>
          <w:tcPr>
            <w:tcW w:w="3284" w:type="dxa"/>
            <w:shd w:val="clear" w:color="auto" w:fill="auto"/>
            <w:tcMar>
              <w:top w:w="100" w:type="dxa"/>
              <w:left w:w="100" w:type="dxa"/>
              <w:bottom w:w="100" w:type="dxa"/>
              <w:right w:w="100" w:type="dxa"/>
            </w:tcMar>
          </w:tcPr>
          <w:p w14:paraId="1120345D" w14:textId="77777777" w:rsidR="004D4543" w:rsidRPr="007B00D3" w:rsidRDefault="004D4543" w:rsidP="004D4543">
            <w:pPr>
              <w:widowControl w:val="0"/>
              <w:shd w:val="clear" w:color="auto" w:fill="FFFFFF"/>
              <w:spacing w:after="120"/>
              <w:rPr>
                <w:rFonts w:cs="Arial"/>
                <w:szCs w:val="22"/>
                <w:highlight w:val="white"/>
                <w:lang w:val="fr-FR"/>
              </w:rPr>
            </w:pPr>
            <w:r>
              <w:rPr>
                <w:rFonts w:cs="Arial"/>
                <w:szCs w:val="22"/>
                <w:highlight w:val="white"/>
                <w:lang w:val="fr"/>
              </w:rPr>
              <w:t>5.2.1 En partenariat avec des experts, identification des possibilités de développer des outils innovants pour le changement de comportement, la communication scientifique et l'évaluation des impacts</w:t>
            </w:r>
          </w:p>
          <w:p w14:paraId="6A030E5D" w14:textId="480E91A4" w:rsidR="004D4543" w:rsidRPr="007B00D3" w:rsidRDefault="004D4543" w:rsidP="004D4543">
            <w:pPr>
              <w:widowControl w:val="0"/>
              <w:shd w:val="clear" w:color="auto" w:fill="FFFFFF"/>
              <w:spacing w:after="120"/>
              <w:rPr>
                <w:rFonts w:cs="Arial"/>
                <w:szCs w:val="22"/>
                <w:highlight w:val="white"/>
                <w:lang w:val="fr-FR"/>
              </w:rPr>
            </w:pPr>
            <w:r>
              <w:rPr>
                <w:rFonts w:cs="Arial"/>
                <w:szCs w:val="22"/>
                <w:highlight w:val="white"/>
                <w:lang w:val="fr"/>
              </w:rPr>
              <w:t xml:space="preserve">5.2.2 Conception et mise en œuvre d'indicateurs unifiés pour mesurer les changements de comportement et évaluer les impacts au niveau national, </w:t>
            </w:r>
            <w:r>
              <w:rPr>
                <w:rFonts w:cs="Arial"/>
                <w:szCs w:val="22"/>
                <w:highlight w:val="white"/>
                <w:lang w:val="fr"/>
              </w:rPr>
              <w:lastRenderedPageBreak/>
              <w:t>régional et mondial</w:t>
            </w:r>
          </w:p>
        </w:tc>
      </w:tr>
      <w:tr w:rsidR="004D4543" w:rsidRPr="007B00D3" w14:paraId="01C47E6E" w14:textId="77777777" w:rsidTr="007B00D3">
        <w:tc>
          <w:tcPr>
            <w:tcW w:w="3270" w:type="dxa"/>
            <w:vMerge/>
            <w:shd w:val="clear" w:color="auto" w:fill="auto"/>
            <w:tcMar>
              <w:top w:w="100" w:type="dxa"/>
              <w:left w:w="100" w:type="dxa"/>
              <w:bottom w:w="100" w:type="dxa"/>
              <w:right w:w="100" w:type="dxa"/>
            </w:tcMar>
          </w:tcPr>
          <w:p w14:paraId="2E1F31FB"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7DCD437F"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5.3 Promotion de projets de recherche sur le changement des comportements, la communication scientifique et les impacts de l’initiation à l’océan</w:t>
            </w:r>
          </w:p>
        </w:tc>
        <w:tc>
          <w:tcPr>
            <w:tcW w:w="3284" w:type="dxa"/>
            <w:shd w:val="clear" w:color="auto" w:fill="auto"/>
            <w:tcMar>
              <w:top w:w="100" w:type="dxa"/>
              <w:left w:w="100" w:type="dxa"/>
              <w:bottom w:w="100" w:type="dxa"/>
              <w:right w:w="100" w:type="dxa"/>
            </w:tcMar>
          </w:tcPr>
          <w:p w14:paraId="762E20C6" w14:textId="77777777" w:rsidR="004D4543" w:rsidRPr="007B00D3" w:rsidRDefault="004D4543" w:rsidP="004D4543">
            <w:pPr>
              <w:widowControl w:val="0"/>
              <w:shd w:val="clear" w:color="auto" w:fill="FFFFFF"/>
              <w:spacing w:after="120"/>
              <w:rPr>
                <w:rFonts w:cs="Arial"/>
                <w:szCs w:val="22"/>
                <w:highlight w:val="white"/>
                <w:lang w:val="fr-FR"/>
              </w:rPr>
            </w:pPr>
            <w:r>
              <w:rPr>
                <w:rFonts w:cs="Arial"/>
                <w:szCs w:val="22"/>
                <w:highlight w:val="white"/>
                <w:lang w:val="fr"/>
              </w:rPr>
              <w:t>5.3.1 Recensement des éventuels projets sur le changement des comportements, la communication scientifique et les impacts de l’initiation à l’océan</w:t>
            </w:r>
          </w:p>
          <w:p w14:paraId="62AC4204" w14:textId="77777777" w:rsidR="004D4543" w:rsidRPr="007B00D3" w:rsidRDefault="004D4543" w:rsidP="004D4543">
            <w:pPr>
              <w:widowControl w:val="0"/>
              <w:shd w:val="clear" w:color="auto" w:fill="FFFFFF"/>
              <w:spacing w:after="120"/>
              <w:rPr>
                <w:rFonts w:cs="Arial"/>
                <w:szCs w:val="22"/>
                <w:highlight w:val="white"/>
                <w:lang w:val="fr-FR"/>
              </w:rPr>
            </w:pPr>
            <w:r>
              <w:rPr>
                <w:rFonts w:cs="Arial"/>
                <w:szCs w:val="22"/>
                <w:highlight w:val="white"/>
                <w:lang w:val="fr"/>
              </w:rPr>
              <w:t>5.3.2 Mise en œuvre de programmes de science citoyenne et collaboration avec ceux-ci</w:t>
            </w:r>
          </w:p>
          <w:p w14:paraId="46A34CC2" w14:textId="77777777" w:rsidR="004D4543" w:rsidRPr="007B00D3" w:rsidRDefault="004D4543" w:rsidP="004D4543">
            <w:pPr>
              <w:widowControl w:val="0"/>
              <w:shd w:val="clear" w:color="auto" w:fill="FFFFFF"/>
              <w:spacing w:after="120"/>
              <w:rPr>
                <w:rFonts w:cs="Arial"/>
                <w:szCs w:val="22"/>
                <w:highlight w:val="white"/>
                <w:lang w:val="fr-FR"/>
              </w:rPr>
            </w:pPr>
            <w:r>
              <w:rPr>
                <w:rFonts w:cs="Arial"/>
                <w:szCs w:val="22"/>
                <w:highlight w:val="white"/>
                <w:lang w:val="fr"/>
              </w:rPr>
              <w:t>5.3.3 Définition des lacunes à combler dans ces domaines de recherche</w:t>
            </w:r>
          </w:p>
        </w:tc>
      </w:tr>
      <w:tr w:rsidR="004D4543" w:rsidRPr="007B00D3" w14:paraId="69D8365A" w14:textId="77777777" w:rsidTr="007B00D3">
        <w:trPr>
          <w:trHeight w:val="921"/>
        </w:trPr>
        <w:tc>
          <w:tcPr>
            <w:tcW w:w="3270" w:type="dxa"/>
            <w:vMerge w:val="restart"/>
            <w:shd w:val="clear" w:color="auto" w:fill="auto"/>
            <w:tcMar>
              <w:top w:w="100" w:type="dxa"/>
              <w:left w:w="100" w:type="dxa"/>
              <w:bottom w:w="100" w:type="dxa"/>
              <w:right w:w="100" w:type="dxa"/>
            </w:tcMar>
          </w:tcPr>
          <w:p w14:paraId="2FE5D9FC" w14:textId="77777777" w:rsidR="004D4543" w:rsidRPr="00C55528" w:rsidRDefault="004D4543" w:rsidP="00C55528">
            <w:pPr>
              <w:widowControl w:val="0"/>
              <w:spacing w:after="120"/>
              <w:rPr>
                <w:rFonts w:cs="Arial"/>
                <w:szCs w:val="22"/>
              </w:rPr>
            </w:pPr>
            <w:r>
              <w:rPr>
                <w:rFonts w:cs="Arial"/>
                <w:b/>
                <w:bCs/>
                <w:szCs w:val="22"/>
                <w:highlight w:val="white"/>
                <w:lang w:val="fr"/>
              </w:rPr>
              <w:t>6. Mobilisation durable des ressources</w:t>
            </w:r>
          </w:p>
        </w:tc>
        <w:tc>
          <w:tcPr>
            <w:tcW w:w="3075" w:type="dxa"/>
            <w:shd w:val="clear" w:color="auto" w:fill="auto"/>
            <w:tcMar>
              <w:top w:w="100" w:type="dxa"/>
              <w:left w:w="100" w:type="dxa"/>
              <w:bottom w:w="100" w:type="dxa"/>
              <w:right w:w="100" w:type="dxa"/>
            </w:tcMar>
          </w:tcPr>
          <w:p w14:paraId="45E4DA8A" w14:textId="60F489A9" w:rsidR="004D4543" w:rsidRPr="007B00D3" w:rsidRDefault="004D4543" w:rsidP="00086969">
            <w:pPr>
              <w:widowControl w:val="0"/>
              <w:shd w:val="clear" w:color="auto" w:fill="FFFFFF"/>
              <w:spacing w:after="120"/>
              <w:rPr>
                <w:rFonts w:cs="Arial"/>
                <w:szCs w:val="22"/>
                <w:highlight w:val="white"/>
                <w:lang w:val="fr-FR"/>
              </w:rPr>
            </w:pPr>
            <w:r>
              <w:rPr>
                <w:rFonts w:cs="Arial"/>
                <w:szCs w:val="22"/>
                <w:highlight w:val="white"/>
                <w:lang w:val="fr"/>
              </w:rPr>
              <w:t>6.1 Recherche de possibilités de contribution en nature</w:t>
            </w:r>
          </w:p>
        </w:tc>
        <w:tc>
          <w:tcPr>
            <w:tcW w:w="3284" w:type="dxa"/>
            <w:shd w:val="clear" w:color="auto" w:fill="auto"/>
            <w:tcMar>
              <w:top w:w="100" w:type="dxa"/>
              <w:left w:w="100" w:type="dxa"/>
              <w:bottom w:w="100" w:type="dxa"/>
              <w:right w:w="100" w:type="dxa"/>
            </w:tcMar>
          </w:tcPr>
          <w:p w14:paraId="150B340B" w14:textId="41A625A3" w:rsidR="004D4543" w:rsidRPr="007B00D3" w:rsidRDefault="004D4543" w:rsidP="00086969">
            <w:pPr>
              <w:widowControl w:val="0"/>
              <w:shd w:val="clear" w:color="auto" w:fill="FFFFFF"/>
              <w:rPr>
                <w:rFonts w:cs="Arial"/>
                <w:szCs w:val="22"/>
                <w:highlight w:val="white"/>
                <w:lang w:val="fr-FR"/>
              </w:rPr>
            </w:pPr>
            <w:r>
              <w:rPr>
                <w:rFonts w:cs="Arial"/>
                <w:szCs w:val="22"/>
                <w:highlight w:val="white"/>
                <w:lang w:val="fr"/>
              </w:rPr>
              <w:t>6.1.1 Promotion de partenariats afin d’accroître les contributions en nature (par exemple, en encourageant les détachements, les prêts, etc.)</w:t>
            </w:r>
          </w:p>
        </w:tc>
      </w:tr>
      <w:tr w:rsidR="004D4543" w:rsidRPr="007B00D3" w14:paraId="7C7C9ACE" w14:textId="77777777" w:rsidTr="007B00D3">
        <w:trPr>
          <w:trHeight w:val="2480"/>
        </w:trPr>
        <w:tc>
          <w:tcPr>
            <w:tcW w:w="3270" w:type="dxa"/>
            <w:vMerge/>
            <w:shd w:val="clear" w:color="auto" w:fill="auto"/>
            <w:tcMar>
              <w:top w:w="100" w:type="dxa"/>
              <w:left w:w="100" w:type="dxa"/>
              <w:bottom w:w="100" w:type="dxa"/>
              <w:right w:w="100" w:type="dxa"/>
            </w:tcMar>
          </w:tcPr>
          <w:p w14:paraId="71BC04AC"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550C3EE2" w14:textId="03D36C75" w:rsidR="004D4543" w:rsidRPr="007B00D3" w:rsidRDefault="00086969" w:rsidP="00980720">
            <w:pPr>
              <w:widowControl w:val="0"/>
              <w:shd w:val="clear" w:color="auto" w:fill="FFFFFF"/>
              <w:spacing w:before="120" w:after="120"/>
              <w:rPr>
                <w:rFonts w:cs="Arial"/>
                <w:szCs w:val="22"/>
                <w:highlight w:val="white"/>
                <w:lang w:val="fr-FR"/>
              </w:rPr>
            </w:pPr>
            <w:r>
              <w:rPr>
                <w:rFonts w:cs="Arial"/>
                <w:szCs w:val="22"/>
                <w:highlight w:val="white"/>
                <w:lang w:val="fr"/>
              </w:rPr>
              <w:t xml:space="preserve">6.2 </w:t>
            </w:r>
            <w:r>
              <w:rPr>
                <w:rFonts w:cs="Arial"/>
                <w:szCs w:val="22"/>
                <w:lang w:val="fr"/>
              </w:rPr>
              <w:t>Soutien financier des États membres, du secteur privé et des organisations philanthropiques aux activités de la COI</w:t>
            </w:r>
          </w:p>
        </w:tc>
        <w:tc>
          <w:tcPr>
            <w:tcW w:w="3284" w:type="dxa"/>
            <w:shd w:val="clear" w:color="auto" w:fill="auto"/>
            <w:tcMar>
              <w:top w:w="100" w:type="dxa"/>
              <w:left w:w="100" w:type="dxa"/>
              <w:bottom w:w="100" w:type="dxa"/>
              <w:right w:w="100" w:type="dxa"/>
            </w:tcMar>
          </w:tcPr>
          <w:p w14:paraId="200A2E7D" w14:textId="77777777" w:rsidR="004D4543" w:rsidRPr="007B00D3" w:rsidRDefault="004D4543" w:rsidP="004D4543">
            <w:pPr>
              <w:widowControl w:val="0"/>
              <w:shd w:val="clear" w:color="auto" w:fill="FFFFFF"/>
              <w:spacing w:after="120"/>
              <w:rPr>
                <w:rFonts w:cs="Arial"/>
                <w:szCs w:val="22"/>
                <w:highlight w:val="white"/>
                <w:lang w:val="fr-FR"/>
              </w:rPr>
            </w:pPr>
            <w:r>
              <w:rPr>
                <w:rFonts w:cs="Arial"/>
                <w:szCs w:val="22"/>
                <w:highlight w:val="white"/>
                <w:lang w:val="fr"/>
              </w:rPr>
              <w:t>6.2.1 Mobilisation des ressources des États membres, des partenaires institutionnels et du secteur privé</w:t>
            </w:r>
          </w:p>
          <w:p w14:paraId="51D53C71" w14:textId="6AEA9B5A" w:rsidR="004D4543" w:rsidRPr="007B00D3" w:rsidRDefault="004D4543" w:rsidP="004D4543">
            <w:pPr>
              <w:widowControl w:val="0"/>
              <w:spacing w:after="120"/>
              <w:rPr>
                <w:rFonts w:cs="Arial"/>
                <w:szCs w:val="22"/>
                <w:highlight w:val="white"/>
                <w:lang w:val="fr-FR"/>
              </w:rPr>
            </w:pPr>
            <w:r>
              <w:rPr>
                <w:rFonts w:cs="Arial"/>
                <w:szCs w:val="22"/>
                <w:highlight w:val="white"/>
                <w:lang w:val="fr"/>
              </w:rPr>
              <w:t>6.2.2. Renforcement de l'impact des donateurs publics et privés en canalisant leurs contributions vers des objectifs communs</w:t>
            </w:r>
          </w:p>
        </w:tc>
      </w:tr>
      <w:tr w:rsidR="004D4543" w:rsidRPr="007B00D3" w14:paraId="4ADB967D" w14:textId="77777777" w:rsidTr="007B00D3">
        <w:trPr>
          <w:trHeight w:val="2850"/>
        </w:trPr>
        <w:tc>
          <w:tcPr>
            <w:tcW w:w="3270" w:type="dxa"/>
            <w:vMerge w:val="restart"/>
            <w:shd w:val="clear" w:color="auto" w:fill="auto"/>
            <w:tcMar>
              <w:top w:w="100" w:type="dxa"/>
              <w:left w:w="100" w:type="dxa"/>
              <w:bottom w:w="100" w:type="dxa"/>
              <w:right w:w="100" w:type="dxa"/>
            </w:tcMar>
          </w:tcPr>
          <w:p w14:paraId="74D633B3" w14:textId="6E77AB5D" w:rsidR="004D4543" w:rsidRPr="007B00D3" w:rsidRDefault="004D4543" w:rsidP="00086969">
            <w:pPr>
              <w:widowControl w:val="0"/>
              <w:spacing w:after="120"/>
              <w:rPr>
                <w:rFonts w:cs="Arial"/>
                <w:b/>
                <w:szCs w:val="22"/>
                <w:highlight w:val="white"/>
                <w:lang w:val="fr-FR"/>
              </w:rPr>
            </w:pPr>
            <w:r>
              <w:rPr>
                <w:rFonts w:cs="Arial"/>
                <w:b/>
                <w:bCs/>
                <w:szCs w:val="22"/>
                <w:highlight w:val="white"/>
                <w:lang w:val="fr"/>
              </w:rPr>
              <w:lastRenderedPageBreak/>
              <w:t>7. Reconnaissance du patrimoine culturel et naturel comme pilier de l'initiation à l'océan</w:t>
            </w:r>
          </w:p>
        </w:tc>
        <w:tc>
          <w:tcPr>
            <w:tcW w:w="3075" w:type="dxa"/>
            <w:shd w:val="clear" w:color="auto" w:fill="auto"/>
            <w:tcMar>
              <w:top w:w="100" w:type="dxa"/>
              <w:left w:w="100" w:type="dxa"/>
              <w:bottom w:w="100" w:type="dxa"/>
              <w:right w:w="100" w:type="dxa"/>
            </w:tcMar>
          </w:tcPr>
          <w:p w14:paraId="630D0A63" w14:textId="4556CAB3" w:rsidR="004D4543" w:rsidRPr="007B00D3" w:rsidRDefault="004D4543" w:rsidP="00C55528">
            <w:pPr>
              <w:widowControl w:val="0"/>
              <w:spacing w:after="120"/>
              <w:rPr>
                <w:rFonts w:cs="Arial"/>
                <w:szCs w:val="22"/>
                <w:highlight w:val="white"/>
                <w:lang w:val="fr-FR"/>
              </w:rPr>
            </w:pPr>
            <w:r>
              <w:rPr>
                <w:rFonts w:cs="Arial"/>
                <w:szCs w:val="22"/>
                <w:highlight w:val="white"/>
                <w:lang w:val="fr"/>
              </w:rPr>
              <w:t>7.1 Intégration du patrimoine culturel et naturel au contenu de l'initiation à l'océan</w:t>
            </w:r>
          </w:p>
        </w:tc>
        <w:tc>
          <w:tcPr>
            <w:tcW w:w="3284" w:type="dxa"/>
            <w:shd w:val="clear" w:color="auto" w:fill="auto"/>
            <w:tcMar>
              <w:top w:w="100" w:type="dxa"/>
              <w:left w:w="100" w:type="dxa"/>
              <w:bottom w:w="100" w:type="dxa"/>
              <w:right w:w="100" w:type="dxa"/>
            </w:tcMar>
          </w:tcPr>
          <w:p w14:paraId="065463A4" w14:textId="77777777" w:rsidR="004D4543" w:rsidRPr="007B00D3" w:rsidRDefault="004D4543" w:rsidP="00C55528">
            <w:pPr>
              <w:widowControl w:val="0"/>
              <w:spacing w:after="120"/>
              <w:rPr>
                <w:rFonts w:cs="Arial"/>
                <w:szCs w:val="22"/>
                <w:highlight w:val="white"/>
                <w:lang w:val="fr-FR"/>
              </w:rPr>
            </w:pPr>
            <w:r>
              <w:rPr>
                <w:rFonts w:cs="Arial"/>
                <w:szCs w:val="22"/>
                <w:highlight w:val="white"/>
                <w:lang w:val="fr"/>
              </w:rPr>
              <w:t>7.1.1 Développement de ressources éducatives et d'initiatives de narration qui mettent en lumière les traditions maritimes historiques, les connaissances en matière de navigation et les liens culturels avec l'océan</w:t>
            </w:r>
          </w:p>
          <w:p w14:paraId="52601392" w14:textId="490449CD" w:rsidR="004D4543" w:rsidRPr="007B00D3" w:rsidRDefault="004D4543" w:rsidP="00086969">
            <w:pPr>
              <w:widowControl w:val="0"/>
              <w:rPr>
                <w:rFonts w:cs="Arial"/>
                <w:szCs w:val="22"/>
                <w:highlight w:val="white"/>
                <w:lang w:val="fr-FR"/>
              </w:rPr>
            </w:pPr>
            <w:r>
              <w:rPr>
                <w:rFonts w:cs="Arial"/>
                <w:szCs w:val="22"/>
                <w:highlight w:val="white"/>
                <w:lang w:val="fr"/>
              </w:rPr>
              <w:t xml:space="preserve">7.1.2 Collaboration avec des institutions culturelles (musées, sites patrimoniaux, archives) pour </w:t>
            </w:r>
            <w:proofErr w:type="spellStart"/>
            <w:r>
              <w:rPr>
                <w:rFonts w:cs="Arial"/>
                <w:szCs w:val="22"/>
                <w:highlight w:val="white"/>
                <w:lang w:val="fr"/>
              </w:rPr>
              <w:t>co-créer</w:t>
            </w:r>
            <w:proofErr w:type="spellEnd"/>
            <w:r>
              <w:rPr>
                <w:rFonts w:cs="Arial"/>
                <w:szCs w:val="22"/>
                <w:highlight w:val="white"/>
                <w:lang w:val="fr"/>
              </w:rPr>
              <w:t xml:space="preserve"> des expositions, des programmes d'études et des programmes de sensibilisation qui associent le patrimoine à l'initiation à l'océan.</w:t>
            </w:r>
          </w:p>
        </w:tc>
      </w:tr>
      <w:tr w:rsidR="004D4543" w:rsidRPr="007B00D3" w14:paraId="2A337951" w14:textId="77777777" w:rsidTr="007B00D3">
        <w:tc>
          <w:tcPr>
            <w:tcW w:w="3270" w:type="dxa"/>
            <w:vMerge/>
            <w:shd w:val="clear" w:color="auto" w:fill="auto"/>
            <w:tcMar>
              <w:top w:w="100" w:type="dxa"/>
              <w:left w:w="100" w:type="dxa"/>
              <w:bottom w:w="100" w:type="dxa"/>
              <w:right w:w="100" w:type="dxa"/>
            </w:tcMar>
          </w:tcPr>
          <w:p w14:paraId="308B6C39"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6FC393F5" w14:textId="44901224" w:rsidR="004D4543" w:rsidRPr="007B00D3" w:rsidRDefault="004D4543" w:rsidP="004D4543">
            <w:pPr>
              <w:widowControl w:val="0"/>
              <w:spacing w:after="120"/>
              <w:rPr>
                <w:rFonts w:cs="Arial"/>
                <w:szCs w:val="22"/>
                <w:highlight w:val="white"/>
                <w:lang w:val="fr-FR"/>
              </w:rPr>
            </w:pPr>
            <w:r>
              <w:rPr>
                <w:rFonts w:cs="Arial"/>
                <w:szCs w:val="22"/>
                <w:highlight w:val="white"/>
                <w:lang w:val="fr"/>
              </w:rPr>
              <w:t>7.2 Reconnaissance et protection des sites du patrimoine culturel et naturel marin</w:t>
            </w:r>
          </w:p>
        </w:tc>
        <w:tc>
          <w:tcPr>
            <w:tcW w:w="3284" w:type="dxa"/>
            <w:shd w:val="clear" w:color="auto" w:fill="auto"/>
            <w:tcMar>
              <w:top w:w="100" w:type="dxa"/>
              <w:left w:w="100" w:type="dxa"/>
              <w:bottom w:w="100" w:type="dxa"/>
              <w:right w:w="100" w:type="dxa"/>
            </w:tcMar>
          </w:tcPr>
          <w:p w14:paraId="1F33D1DE"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7.2.1 Sensibilisation aux zones marines d'importance culturelle.</w:t>
            </w:r>
          </w:p>
          <w:p w14:paraId="3D100242" w14:textId="63389F64" w:rsidR="004D4543" w:rsidRPr="007B00D3" w:rsidRDefault="004D4543" w:rsidP="00086969">
            <w:pPr>
              <w:widowControl w:val="0"/>
              <w:rPr>
                <w:rFonts w:cs="Arial"/>
                <w:szCs w:val="22"/>
                <w:highlight w:val="white"/>
                <w:lang w:val="fr-FR"/>
              </w:rPr>
            </w:pPr>
            <w:r>
              <w:rPr>
                <w:rFonts w:cs="Arial"/>
                <w:szCs w:val="22"/>
                <w:highlight w:val="white"/>
                <w:lang w:val="fr"/>
              </w:rPr>
              <w:t>7.2.2 Promotion des dialogues politiques et des actions de conservation qui intègrent l'initiation à l'océan et la sauvegarde du patrimoine culturel et naturel marin.</w:t>
            </w:r>
          </w:p>
        </w:tc>
      </w:tr>
      <w:tr w:rsidR="004D4543" w:rsidRPr="007B00D3" w14:paraId="43E43B42" w14:textId="77777777" w:rsidTr="007B00D3">
        <w:tc>
          <w:tcPr>
            <w:tcW w:w="3270" w:type="dxa"/>
            <w:vMerge/>
            <w:shd w:val="clear" w:color="auto" w:fill="auto"/>
            <w:tcMar>
              <w:top w:w="100" w:type="dxa"/>
              <w:left w:w="100" w:type="dxa"/>
              <w:bottom w:w="100" w:type="dxa"/>
              <w:right w:w="100" w:type="dxa"/>
            </w:tcMar>
          </w:tcPr>
          <w:p w14:paraId="75E8A5D1"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792E3D48"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7.3 Reconnaissance de l'importance des systèmes de connaissances autochtones et locales</w:t>
            </w:r>
          </w:p>
        </w:tc>
        <w:tc>
          <w:tcPr>
            <w:tcW w:w="3284" w:type="dxa"/>
            <w:shd w:val="clear" w:color="auto" w:fill="auto"/>
            <w:tcMar>
              <w:top w:w="100" w:type="dxa"/>
              <w:left w:w="100" w:type="dxa"/>
              <w:bottom w:w="100" w:type="dxa"/>
              <w:right w:w="100" w:type="dxa"/>
            </w:tcMar>
          </w:tcPr>
          <w:p w14:paraId="7DF1E4D2"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7.3.1 Garantie d'une représentation respectueuse des savoirs autochtones et locaux dans les efforts formels et informels d'initiation à l'océan.</w:t>
            </w:r>
          </w:p>
        </w:tc>
      </w:tr>
      <w:tr w:rsidR="004D4543" w:rsidRPr="007B00D3" w14:paraId="55FC2FAE" w14:textId="77777777" w:rsidTr="007B00D3">
        <w:trPr>
          <w:trHeight w:val="2012"/>
        </w:trPr>
        <w:tc>
          <w:tcPr>
            <w:tcW w:w="3270" w:type="dxa"/>
            <w:vMerge w:val="restart"/>
            <w:shd w:val="clear" w:color="auto" w:fill="auto"/>
            <w:tcMar>
              <w:top w:w="100" w:type="dxa"/>
              <w:left w:w="100" w:type="dxa"/>
              <w:bottom w:w="100" w:type="dxa"/>
              <w:right w:w="100" w:type="dxa"/>
            </w:tcMar>
          </w:tcPr>
          <w:p w14:paraId="65291A11" w14:textId="77777777" w:rsidR="004D4543" w:rsidRPr="007B00D3" w:rsidRDefault="004D4543" w:rsidP="00C55528">
            <w:pPr>
              <w:widowControl w:val="0"/>
              <w:spacing w:after="120"/>
              <w:rPr>
                <w:rFonts w:cs="Arial"/>
                <w:b/>
                <w:szCs w:val="22"/>
                <w:highlight w:val="white"/>
                <w:lang w:val="fr-FR"/>
              </w:rPr>
            </w:pPr>
            <w:r>
              <w:rPr>
                <w:rFonts w:cs="Arial"/>
                <w:b/>
                <w:bCs/>
                <w:szCs w:val="22"/>
                <w:highlight w:val="white"/>
                <w:lang w:val="fr"/>
              </w:rPr>
              <w:t>8. Intégration de l'initiation à l'océan aux politiques et aux prises de décisions</w:t>
            </w:r>
          </w:p>
        </w:tc>
        <w:tc>
          <w:tcPr>
            <w:tcW w:w="3075" w:type="dxa"/>
            <w:shd w:val="clear" w:color="auto" w:fill="auto"/>
            <w:tcMar>
              <w:top w:w="100" w:type="dxa"/>
              <w:left w:w="100" w:type="dxa"/>
              <w:bottom w:w="100" w:type="dxa"/>
              <w:right w:w="100" w:type="dxa"/>
            </w:tcMar>
          </w:tcPr>
          <w:p w14:paraId="66128E2C" w14:textId="6DCB1C8A" w:rsidR="004D4543" w:rsidRPr="007B00D3" w:rsidRDefault="004D4543" w:rsidP="00086969">
            <w:pPr>
              <w:widowControl w:val="0"/>
              <w:spacing w:after="120"/>
              <w:ind w:left="8"/>
              <w:rPr>
                <w:rFonts w:cs="Arial"/>
                <w:szCs w:val="22"/>
                <w:highlight w:val="white"/>
                <w:lang w:val="fr-FR"/>
              </w:rPr>
            </w:pPr>
            <w:r>
              <w:rPr>
                <w:rFonts w:cs="Arial"/>
                <w:szCs w:val="22"/>
                <w:highlight w:val="white"/>
                <w:lang w:val="fr"/>
              </w:rPr>
              <w:t>8.1 Amélioration de la sensibilisation des décideurs politiques</w:t>
            </w:r>
          </w:p>
        </w:tc>
        <w:tc>
          <w:tcPr>
            <w:tcW w:w="3284" w:type="dxa"/>
            <w:shd w:val="clear" w:color="auto" w:fill="auto"/>
            <w:tcMar>
              <w:top w:w="100" w:type="dxa"/>
              <w:left w:w="100" w:type="dxa"/>
              <w:bottom w:w="100" w:type="dxa"/>
              <w:right w:w="100" w:type="dxa"/>
            </w:tcMar>
          </w:tcPr>
          <w:p w14:paraId="70E51E4D" w14:textId="77777777" w:rsidR="004D4543" w:rsidRPr="007B00D3" w:rsidRDefault="004D4543" w:rsidP="00C55528">
            <w:pPr>
              <w:widowControl w:val="0"/>
              <w:spacing w:after="120"/>
              <w:rPr>
                <w:rFonts w:cs="Arial"/>
                <w:szCs w:val="22"/>
                <w:highlight w:val="white"/>
                <w:lang w:val="fr-FR"/>
              </w:rPr>
            </w:pPr>
            <w:r>
              <w:rPr>
                <w:rFonts w:cs="Arial"/>
                <w:szCs w:val="22"/>
                <w:highlight w:val="white"/>
                <w:lang w:val="fr"/>
              </w:rPr>
              <w:t>8.1.1 Création d'opportunités d'interaction avec les décideurs politiques à différents niveaux</w:t>
            </w:r>
          </w:p>
          <w:p w14:paraId="3E5ECD71" w14:textId="2412C55B" w:rsidR="004D4543" w:rsidRPr="007B00D3" w:rsidRDefault="004D4543" w:rsidP="00086969">
            <w:pPr>
              <w:widowControl w:val="0"/>
              <w:rPr>
                <w:rFonts w:cs="Arial"/>
                <w:szCs w:val="22"/>
                <w:highlight w:val="white"/>
                <w:lang w:val="fr-FR"/>
              </w:rPr>
            </w:pPr>
            <w:r>
              <w:rPr>
                <w:rFonts w:cs="Arial"/>
                <w:szCs w:val="22"/>
                <w:highlight w:val="white"/>
                <w:lang w:val="fr"/>
              </w:rPr>
              <w:t>8.1.2 Renforcement de la sensibilisation grâce à du matériel ad hoc et à des opportunités conçues pour les décideurs politiques</w:t>
            </w:r>
          </w:p>
        </w:tc>
      </w:tr>
      <w:tr w:rsidR="004D4543" w:rsidRPr="007B00D3" w14:paraId="77C59665" w14:textId="77777777" w:rsidTr="007B00D3">
        <w:trPr>
          <w:trHeight w:val="1510"/>
        </w:trPr>
        <w:tc>
          <w:tcPr>
            <w:tcW w:w="3270" w:type="dxa"/>
            <w:vMerge/>
            <w:shd w:val="clear" w:color="auto" w:fill="auto"/>
            <w:tcMar>
              <w:top w:w="100" w:type="dxa"/>
              <w:left w:w="100" w:type="dxa"/>
              <w:bottom w:w="100" w:type="dxa"/>
              <w:right w:w="100" w:type="dxa"/>
            </w:tcMar>
          </w:tcPr>
          <w:p w14:paraId="411A8C67" w14:textId="77777777" w:rsidR="004D4543" w:rsidRPr="007B00D3" w:rsidRDefault="004D4543" w:rsidP="00C55528">
            <w:pPr>
              <w:widowControl w:val="0"/>
              <w:spacing w:after="120"/>
              <w:rPr>
                <w:rFonts w:cs="Arial"/>
                <w:b/>
                <w:szCs w:val="22"/>
                <w:highlight w:val="white"/>
                <w:lang w:val="fr-FR"/>
              </w:rPr>
            </w:pPr>
          </w:p>
        </w:tc>
        <w:tc>
          <w:tcPr>
            <w:tcW w:w="3075" w:type="dxa"/>
            <w:shd w:val="clear" w:color="auto" w:fill="auto"/>
            <w:tcMar>
              <w:top w:w="100" w:type="dxa"/>
              <w:left w:w="100" w:type="dxa"/>
              <w:bottom w:w="100" w:type="dxa"/>
              <w:right w:w="100" w:type="dxa"/>
            </w:tcMar>
          </w:tcPr>
          <w:p w14:paraId="32892DCD" w14:textId="77777777" w:rsidR="004D4543" w:rsidRPr="00C55528" w:rsidRDefault="004D4543" w:rsidP="004D4543">
            <w:pPr>
              <w:widowControl w:val="0"/>
              <w:spacing w:after="120"/>
              <w:rPr>
                <w:rFonts w:cs="Arial"/>
                <w:szCs w:val="22"/>
                <w:highlight w:val="white"/>
              </w:rPr>
            </w:pPr>
            <w:r>
              <w:rPr>
                <w:rFonts w:cs="Arial"/>
                <w:szCs w:val="22"/>
                <w:highlight w:val="white"/>
                <w:lang w:val="fr"/>
              </w:rPr>
              <w:t>8.2 Gouvernance intersectorielle</w:t>
            </w:r>
          </w:p>
        </w:tc>
        <w:tc>
          <w:tcPr>
            <w:tcW w:w="3284" w:type="dxa"/>
            <w:shd w:val="clear" w:color="auto" w:fill="auto"/>
            <w:tcMar>
              <w:top w:w="100" w:type="dxa"/>
              <w:left w:w="100" w:type="dxa"/>
              <w:bottom w:w="100" w:type="dxa"/>
              <w:right w:w="100" w:type="dxa"/>
            </w:tcMar>
          </w:tcPr>
          <w:p w14:paraId="5847A511"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t>8.2.1 Intégration des principes de la culture océanique aux politiques marines nationales et régionales, aux stratégies d'économie bleue et aux cadres d'adaptation au climat</w:t>
            </w:r>
          </w:p>
          <w:p w14:paraId="4F9460D4" w14:textId="77777777" w:rsidR="004D4543" w:rsidRPr="007B00D3" w:rsidRDefault="004D4543" w:rsidP="004D4543">
            <w:pPr>
              <w:widowControl w:val="0"/>
              <w:spacing w:after="120"/>
              <w:rPr>
                <w:rFonts w:cs="Arial"/>
                <w:szCs w:val="22"/>
                <w:highlight w:val="white"/>
                <w:lang w:val="fr-FR"/>
              </w:rPr>
            </w:pPr>
            <w:r>
              <w:rPr>
                <w:rFonts w:cs="Arial"/>
                <w:szCs w:val="22"/>
                <w:highlight w:val="white"/>
                <w:lang w:val="fr"/>
              </w:rPr>
              <w:lastRenderedPageBreak/>
              <w:t>8.2.2 Encouragement des approches de gouvernance intersectorielles qui donnent la priorité à l'initiation à l'océan en tant qu'outil de gestion durable des océans</w:t>
            </w:r>
          </w:p>
          <w:p w14:paraId="53AEE64A" w14:textId="77777777" w:rsidR="004D4543" w:rsidRPr="007B00D3" w:rsidRDefault="004D4543" w:rsidP="00086969">
            <w:pPr>
              <w:widowControl w:val="0"/>
              <w:rPr>
                <w:rFonts w:cs="Arial"/>
                <w:szCs w:val="22"/>
                <w:highlight w:val="white"/>
                <w:lang w:val="fr-FR"/>
              </w:rPr>
            </w:pPr>
            <w:r>
              <w:rPr>
                <w:rFonts w:cs="Arial"/>
                <w:szCs w:val="22"/>
                <w:lang w:val="fr"/>
              </w:rPr>
              <w:t>8.2.3 Exploitation du point de vue des jeunes dans les processus de prise de décision</w:t>
            </w:r>
          </w:p>
        </w:tc>
      </w:tr>
      <w:tr w:rsidR="00086969" w:rsidRPr="007B00D3" w14:paraId="3D5E73F1" w14:textId="77777777" w:rsidTr="007B00D3">
        <w:tc>
          <w:tcPr>
            <w:tcW w:w="3270" w:type="dxa"/>
            <w:vMerge w:val="restart"/>
            <w:shd w:val="clear" w:color="auto" w:fill="auto"/>
            <w:tcMar>
              <w:top w:w="100" w:type="dxa"/>
              <w:left w:w="100" w:type="dxa"/>
              <w:bottom w:w="100" w:type="dxa"/>
              <w:right w:w="100" w:type="dxa"/>
            </w:tcMar>
          </w:tcPr>
          <w:p w14:paraId="46BE18ED" w14:textId="77777777" w:rsidR="00086969" w:rsidRPr="007B00D3" w:rsidRDefault="00086969" w:rsidP="00086969">
            <w:pPr>
              <w:widowControl w:val="0"/>
              <w:spacing w:after="120"/>
              <w:ind w:left="338" w:hanging="360"/>
              <w:rPr>
                <w:rFonts w:cs="Arial"/>
                <w:b/>
                <w:szCs w:val="22"/>
                <w:highlight w:val="white"/>
                <w:lang w:val="fr-FR"/>
              </w:rPr>
            </w:pPr>
            <w:r>
              <w:rPr>
                <w:rFonts w:cs="Arial"/>
                <w:b/>
                <w:bCs/>
                <w:szCs w:val="22"/>
                <w:highlight w:val="white"/>
                <w:lang w:val="fr"/>
              </w:rPr>
              <w:lastRenderedPageBreak/>
              <w:t>9. Amélioration de la sensibilisation du public et de l'engagement numérique</w:t>
            </w:r>
          </w:p>
        </w:tc>
        <w:tc>
          <w:tcPr>
            <w:tcW w:w="3075" w:type="dxa"/>
            <w:shd w:val="clear" w:color="auto" w:fill="auto"/>
            <w:tcMar>
              <w:top w:w="100" w:type="dxa"/>
              <w:left w:w="100" w:type="dxa"/>
              <w:bottom w:w="100" w:type="dxa"/>
              <w:right w:w="100" w:type="dxa"/>
            </w:tcMar>
          </w:tcPr>
          <w:p w14:paraId="751083C7" w14:textId="16451718" w:rsidR="00086969" w:rsidRPr="00C55528" w:rsidRDefault="00086969" w:rsidP="00086969">
            <w:pPr>
              <w:widowControl w:val="0"/>
              <w:spacing w:after="120"/>
              <w:ind w:left="386" w:hanging="360"/>
              <w:rPr>
                <w:rFonts w:cs="Arial"/>
                <w:szCs w:val="22"/>
                <w:highlight w:val="white"/>
              </w:rPr>
            </w:pPr>
            <w:r>
              <w:rPr>
                <w:rFonts w:cs="Arial"/>
                <w:szCs w:val="22"/>
                <w:highlight w:val="white"/>
                <w:lang w:val="fr"/>
              </w:rPr>
              <w:t>9.1 Visibilité dans les médias</w:t>
            </w:r>
          </w:p>
        </w:tc>
        <w:tc>
          <w:tcPr>
            <w:tcW w:w="3284" w:type="dxa"/>
            <w:shd w:val="clear" w:color="auto" w:fill="auto"/>
            <w:tcMar>
              <w:top w:w="100" w:type="dxa"/>
              <w:left w:w="100" w:type="dxa"/>
              <w:bottom w:w="100" w:type="dxa"/>
              <w:right w:w="100" w:type="dxa"/>
            </w:tcMar>
          </w:tcPr>
          <w:p w14:paraId="159C672D" w14:textId="77777777" w:rsidR="00086969" w:rsidRPr="007B00D3" w:rsidRDefault="00086969" w:rsidP="00C55528">
            <w:pPr>
              <w:widowControl w:val="0"/>
              <w:spacing w:after="120"/>
              <w:rPr>
                <w:rFonts w:cs="Arial"/>
                <w:szCs w:val="22"/>
                <w:highlight w:val="white"/>
                <w:lang w:val="fr-FR"/>
              </w:rPr>
            </w:pPr>
            <w:r>
              <w:rPr>
                <w:rFonts w:cs="Arial"/>
                <w:szCs w:val="22"/>
                <w:highlight w:val="white"/>
                <w:lang w:val="fr"/>
              </w:rPr>
              <w:t>9.1.1 Renforcement de la collaboration avec les médias traditionnels et les créateurs de contenu en ligne afin d'amplifier l'initiation à l'océan, notamment par le biais des journaux, des magazines, des réseaux sociaux, de podcasts et de récits interactifs</w:t>
            </w:r>
          </w:p>
          <w:p w14:paraId="2C2EE2D2" w14:textId="77777777" w:rsidR="00086969" w:rsidRPr="007B00D3" w:rsidRDefault="00086969" w:rsidP="00C55528">
            <w:pPr>
              <w:widowControl w:val="0"/>
              <w:spacing w:after="120"/>
              <w:rPr>
                <w:rFonts w:cs="Arial"/>
                <w:szCs w:val="22"/>
                <w:lang w:val="fr-FR"/>
              </w:rPr>
            </w:pPr>
            <w:r>
              <w:rPr>
                <w:rFonts w:cs="Arial"/>
                <w:szCs w:val="22"/>
                <w:lang w:val="fr"/>
              </w:rPr>
              <w:t>9.1.2 Renforcement de la collaboration avec les jeunes défenseurs des océans afin de les transformer en amplificateurs de l'initiation à l'océan</w:t>
            </w:r>
          </w:p>
          <w:p w14:paraId="7615CCCB" w14:textId="3302CE5C" w:rsidR="00086969" w:rsidRPr="007B00D3" w:rsidRDefault="00086969" w:rsidP="00086969">
            <w:pPr>
              <w:widowControl w:val="0"/>
              <w:rPr>
                <w:rFonts w:cs="Arial"/>
                <w:szCs w:val="22"/>
                <w:highlight w:val="white"/>
                <w:lang w:val="fr-FR"/>
              </w:rPr>
            </w:pPr>
            <w:r>
              <w:rPr>
                <w:rFonts w:cs="Arial"/>
                <w:szCs w:val="22"/>
                <w:highlight w:val="white"/>
                <w:lang w:val="fr"/>
              </w:rPr>
              <w:t>9.2.1 Organisation de campagnes et de programmes de sensibilisation du public afin d'intéresser un plus grand nombre de personnes à l'initiation à l'océan</w:t>
            </w:r>
          </w:p>
        </w:tc>
      </w:tr>
      <w:tr w:rsidR="00086969" w:rsidRPr="007B00D3" w14:paraId="3796113A" w14:textId="77777777" w:rsidTr="007B00D3">
        <w:tc>
          <w:tcPr>
            <w:tcW w:w="3270" w:type="dxa"/>
            <w:vMerge/>
            <w:shd w:val="clear" w:color="auto" w:fill="auto"/>
            <w:tcMar>
              <w:top w:w="100" w:type="dxa"/>
              <w:left w:w="100" w:type="dxa"/>
              <w:bottom w:w="100" w:type="dxa"/>
              <w:right w:w="100" w:type="dxa"/>
            </w:tcMar>
          </w:tcPr>
          <w:p w14:paraId="5E49ADD2" w14:textId="77777777" w:rsidR="00086969" w:rsidRPr="007B00D3" w:rsidRDefault="00086969" w:rsidP="00086969">
            <w:pPr>
              <w:widowControl w:val="0"/>
              <w:spacing w:after="120"/>
              <w:ind w:left="338" w:hanging="360"/>
              <w:rPr>
                <w:rFonts w:cs="Arial"/>
                <w:b/>
                <w:szCs w:val="22"/>
                <w:highlight w:val="white"/>
                <w:lang w:val="fr-FR"/>
              </w:rPr>
            </w:pPr>
          </w:p>
        </w:tc>
        <w:tc>
          <w:tcPr>
            <w:tcW w:w="3075" w:type="dxa"/>
            <w:shd w:val="clear" w:color="auto" w:fill="auto"/>
            <w:tcMar>
              <w:top w:w="100" w:type="dxa"/>
              <w:left w:w="100" w:type="dxa"/>
              <w:bottom w:w="100" w:type="dxa"/>
              <w:right w:w="100" w:type="dxa"/>
            </w:tcMar>
          </w:tcPr>
          <w:p w14:paraId="4B9E346B" w14:textId="3B600B1C" w:rsidR="00086969" w:rsidRPr="00C55528" w:rsidRDefault="00086969" w:rsidP="00086969">
            <w:pPr>
              <w:widowControl w:val="0"/>
              <w:spacing w:after="120"/>
              <w:ind w:left="386" w:hanging="360"/>
              <w:rPr>
                <w:rFonts w:cs="Arial"/>
                <w:szCs w:val="22"/>
                <w:highlight w:val="white"/>
              </w:rPr>
            </w:pPr>
            <w:r>
              <w:rPr>
                <w:rFonts w:cs="Arial"/>
                <w:szCs w:val="22"/>
                <w:highlight w:val="white"/>
                <w:lang w:val="fr"/>
              </w:rPr>
              <w:t>9.2 Sensibilisation numérique</w:t>
            </w:r>
          </w:p>
        </w:tc>
        <w:tc>
          <w:tcPr>
            <w:tcW w:w="3284" w:type="dxa"/>
            <w:shd w:val="clear" w:color="auto" w:fill="auto"/>
            <w:tcMar>
              <w:top w:w="100" w:type="dxa"/>
              <w:left w:w="100" w:type="dxa"/>
              <w:bottom w:w="100" w:type="dxa"/>
              <w:right w:w="100" w:type="dxa"/>
            </w:tcMar>
          </w:tcPr>
          <w:p w14:paraId="0F4DD2A1" w14:textId="610304F8" w:rsidR="00086969" w:rsidRPr="007B00D3" w:rsidRDefault="00086969" w:rsidP="00086969">
            <w:pPr>
              <w:widowControl w:val="0"/>
              <w:rPr>
                <w:rFonts w:cs="Arial"/>
                <w:szCs w:val="22"/>
                <w:highlight w:val="white"/>
                <w:lang w:val="fr-FR"/>
              </w:rPr>
            </w:pPr>
            <w:r>
              <w:rPr>
                <w:rFonts w:cs="Arial"/>
                <w:szCs w:val="22"/>
                <w:highlight w:val="white"/>
                <w:lang w:val="fr"/>
              </w:rPr>
              <w:t>9.2.2 Utilisation des technologies émergentes telles que la RV et les outils de visualisation de données pour créer des récits percutants et immersifs qui rendent les sciences océaniques plus accessibles et plus convaincantes.</w:t>
            </w:r>
          </w:p>
        </w:tc>
      </w:tr>
    </w:tbl>
    <w:p w14:paraId="47DE08CB" w14:textId="77777777" w:rsidR="00C55528" w:rsidRPr="007B00D3" w:rsidRDefault="00C55528" w:rsidP="00086969">
      <w:pPr>
        <w:pStyle w:val="ListParagraph"/>
        <w:snapToGrid w:val="0"/>
        <w:spacing w:before="240" w:after="240"/>
        <w:ind w:left="0"/>
        <w:contextualSpacing w:val="0"/>
        <w:rPr>
          <w:rFonts w:ascii="Arial" w:hAnsi="Arial" w:cs="Arial"/>
          <w:sz w:val="22"/>
          <w:szCs w:val="22"/>
          <w:lang w:val="fr-FR"/>
        </w:rPr>
      </w:pPr>
    </w:p>
    <w:sectPr w:rsidR="00C55528" w:rsidRPr="007B00D3"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F827" w14:textId="77777777" w:rsidR="003A1612" w:rsidRDefault="003A1612">
      <w:r>
        <w:separator/>
      </w:r>
    </w:p>
  </w:endnote>
  <w:endnote w:type="continuationSeparator" w:id="0">
    <w:p w14:paraId="6BEB3081" w14:textId="77777777" w:rsidR="003A1612" w:rsidRDefault="003A1612">
      <w:r>
        <w:continuationSeparator/>
      </w:r>
    </w:p>
  </w:endnote>
  <w:endnote w:type="continuationNotice" w:id="1">
    <w:p w14:paraId="703A3248" w14:textId="77777777" w:rsidR="003A1612" w:rsidRDefault="003A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AFC1" w14:textId="77777777" w:rsidR="003A1612" w:rsidRDefault="003A1612">
      <w:r>
        <w:separator/>
      </w:r>
    </w:p>
  </w:footnote>
  <w:footnote w:type="continuationSeparator" w:id="0">
    <w:p w14:paraId="38316D0D" w14:textId="77777777" w:rsidR="003A1612" w:rsidRDefault="003A1612">
      <w:r>
        <w:continuationSeparator/>
      </w:r>
    </w:p>
  </w:footnote>
  <w:footnote w:type="continuationNotice" w:id="1">
    <w:p w14:paraId="0D913F56" w14:textId="77777777" w:rsidR="003A1612" w:rsidRDefault="003A1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19C4" w14:textId="77777777" w:rsidR="00441140" w:rsidRPr="00C962F0" w:rsidRDefault="00441140">
    <w:pPr>
      <w:pStyle w:val="Header"/>
      <w:rPr>
        <w:szCs w:val="22"/>
      </w:rPr>
    </w:pPr>
    <w:r w:rsidRPr="007B00D3">
      <w:rPr>
        <w:szCs w:val="22"/>
        <w:lang w:val="en-US"/>
      </w:rPr>
      <w:t>ICG/CARIBE-EWS II/WD </w:t>
    </w:r>
    <w:r w:rsidRPr="007B00D3">
      <w:rPr>
        <w:szCs w:val="22"/>
        <w:highlight w:val="cyan"/>
        <w:lang w:val="en-US"/>
      </w:rPr>
      <w:t>__</w:t>
    </w:r>
  </w:p>
  <w:p w14:paraId="6A24548F" w14:textId="77777777" w:rsidR="00441140" w:rsidRPr="00C962F0" w:rsidRDefault="00441140">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D62A" w14:textId="77777777" w:rsidR="00441140" w:rsidRPr="00746B89" w:rsidRDefault="00441140" w:rsidP="00DF2FB9">
    <w:pPr>
      <w:pStyle w:val="Header"/>
      <w:tabs>
        <w:tab w:val="clear" w:pos="8306"/>
      </w:tabs>
      <w:rPr>
        <w:szCs w:val="22"/>
      </w:rPr>
    </w:pPr>
    <w:r>
      <w:rPr>
        <w:szCs w:val="22"/>
        <w:lang w:val="fr"/>
      </w:rPr>
      <w:t xml:space="preserve">IOC-XXIV/2 Annexe </w:t>
    </w:r>
    <w:r>
      <w:rPr>
        <w:szCs w:val="22"/>
        <w:highlight w:val="yellow"/>
        <w:lang w:val="fr"/>
      </w:rPr>
      <w:t>__</w:t>
    </w:r>
  </w:p>
  <w:p w14:paraId="70AB0676" w14:textId="77777777" w:rsidR="00441140" w:rsidRPr="00746B89" w:rsidRDefault="00441140"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D51F" w14:textId="677DC019" w:rsidR="00C12E5A" w:rsidRPr="007B00D3" w:rsidRDefault="00C12E5A" w:rsidP="00AA2CD5">
    <w:pPr>
      <w:pStyle w:val="Marge"/>
      <w:tabs>
        <w:tab w:val="left" w:pos="6096"/>
        <w:tab w:val="left" w:pos="7560"/>
      </w:tabs>
      <w:spacing w:after="0"/>
      <w:rPr>
        <w:rFonts w:cs="Arial"/>
        <w:b/>
        <w:szCs w:val="22"/>
        <w:lang w:val="fr-FR"/>
      </w:rPr>
    </w:pPr>
    <w:r>
      <w:rPr>
        <w:rFonts w:cs="Arial"/>
        <w:szCs w:val="22"/>
        <w:lang w:val="fr"/>
      </w:rPr>
      <w:t>Distribution limitée</w:t>
    </w:r>
    <w:r>
      <w:rPr>
        <w:rFonts w:cs="Arial"/>
        <w:szCs w:val="22"/>
        <w:lang w:val="fr"/>
      </w:rPr>
      <w:tab/>
    </w:r>
    <w:r>
      <w:rPr>
        <w:rFonts w:cs="Arial"/>
        <w:b/>
        <w:bCs/>
        <w:sz w:val="36"/>
        <w:szCs w:val="36"/>
        <w:lang w:val="fr"/>
      </w:rPr>
      <w:t>IOC/A-33/4.</w:t>
    </w:r>
    <w:proofErr w:type="gramStart"/>
    <w:r>
      <w:rPr>
        <w:rFonts w:cs="Arial"/>
        <w:b/>
        <w:bCs/>
        <w:sz w:val="36"/>
        <w:szCs w:val="36"/>
        <w:lang w:val="fr"/>
      </w:rPr>
      <w:t>4.Doc</w:t>
    </w:r>
    <w:proofErr w:type="gramEnd"/>
    <w:r>
      <w:rPr>
        <w:rFonts w:cs="Arial"/>
        <w:b/>
        <w:bCs/>
        <w:sz w:val="36"/>
        <w:szCs w:val="36"/>
        <w:lang w:val="fr"/>
      </w:rPr>
      <w:t>(1)</w:t>
    </w:r>
  </w:p>
  <w:p w14:paraId="403ABF5B" w14:textId="44AF88F1" w:rsidR="00C12E5A" w:rsidRPr="007B00D3" w:rsidRDefault="00C12E5A" w:rsidP="00AA2CD5">
    <w:pPr>
      <w:tabs>
        <w:tab w:val="left" w:pos="6096"/>
        <w:tab w:val="left" w:pos="7560"/>
      </w:tabs>
      <w:jc w:val="both"/>
      <w:rPr>
        <w:rFonts w:asciiTheme="minorBidi" w:hAnsiTheme="minorBidi"/>
        <w:lang w:val="fr-FR"/>
      </w:rPr>
    </w:pPr>
    <w:r>
      <w:rPr>
        <w:noProof/>
        <w:lang w:val="fr"/>
      </w:rPr>
      <w:drawing>
        <wp:anchor distT="0" distB="0" distL="114300" distR="114300" simplePos="0" relativeHeight="251678720" behindDoc="0" locked="0" layoutInCell="1" allowOverlap="1" wp14:anchorId="68D4C686" wp14:editId="00519DD6">
          <wp:simplePos x="0" y="0"/>
          <wp:positionH relativeFrom="column">
            <wp:posOffset>-96875</wp:posOffset>
          </wp:positionH>
          <wp:positionV relativeFrom="paragraph">
            <wp:posOffset>101600</wp:posOffset>
          </wp:positionV>
          <wp:extent cx="1578610" cy="1047115"/>
          <wp:effectExtent l="0" t="0" r="2540" b="635"/>
          <wp:wrapSquare wrapText="bothSides"/>
          <wp:docPr id="4" name="Picture 4"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
      </w:rPr>
      <w:tab/>
    </w:r>
    <w:r>
      <w:rPr>
        <w:rFonts w:asciiTheme="minorBidi" w:hAnsiTheme="minorBidi"/>
        <w:lang w:val="fr"/>
      </w:rPr>
      <w:t>Paris, 24 avril 2025</w:t>
    </w:r>
  </w:p>
  <w:p w14:paraId="28CBEFA2" w14:textId="77777777" w:rsidR="00C12E5A" w:rsidRPr="007B00D3" w:rsidRDefault="00C12E5A" w:rsidP="00AA2CD5">
    <w:pPr>
      <w:tabs>
        <w:tab w:val="left" w:pos="6096"/>
        <w:tab w:val="left" w:pos="7560"/>
      </w:tabs>
      <w:jc w:val="both"/>
      <w:rPr>
        <w:rFonts w:asciiTheme="minorBidi" w:hAnsiTheme="minorBidi"/>
        <w:lang w:val="fr-FR"/>
      </w:rPr>
    </w:pPr>
    <w:r>
      <w:rPr>
        <w:rFonts w:asciiTheme="minorBidi" w:hAnsiTheme="minorBidi"/>
        <w:lang w:val="fr"/>
      </w:rPr>
      <w:tab/>
      <w:t>Original : anglais</w:t>
    </w:r>
  </w:p>
  <w:p w14:paraId="32B4F112" w14:textId="77777777" w:rsidR="00C12E5A" w:rsidRPr="007B00D3" w:rsidRDefault="00C12E5A" w:rsidP="00AA2CD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6096"/>
        <w:tab w:val="left" w:pos="7020"/>
        <w:tab w:val="left" w:pos="7088"/>
      </w:tabs>
      <w:jc w:val="both"/>
      <w:rPr>
        <w:rFonts w:asciiTheme="minorBidi" w:hAnsiTheme="minorBidi"/>
        <w:b/>
        <w:lang w:val="fr-FR"/>
      </w:rPr>
    </w:pPr>
  </w:p>
  <w:p w14:paraId="6291037F"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704015AC"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32EBCD58"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4FB8D5E3"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40B06903"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658C4EF5"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fr-FR"/>
      </w:rPr>
    </w:pPr>
  </w:p>
  <w:p w14:paraId="52BE075C"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lang w:val="fr-FR"/>
      </w:rPr>
    </w:pPr>
    <w:r>
      <w:rPr>
        <w:rFonts w:asciiTheme="minorBidi" w:hAnsiTheme="minorBidi"/>
        <w:b/>
        <w:bCs/>
        <w:lang w:val="fr"/>
      </w:rPr>
      <w:t>COMMISSION OCÉANOGRAPHIQUE INTERGOUVERNEMENTALE</w:t>
    </w:r>
  </w:p>
  <w:p w14:paraId="5F2D4603" w14:textId="77777777" w:rsidR="00C12E5A" w:rsidRPr="007B00D3"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lang w:val="fr-FR"/>
      </w:rPr>
    </w:pPr>
    <w:r>
      <w:rPr>
        <w:rFonts w:asciiTheme="minorBidi" w:hAnsiTheme="minorBidi"/>
        <w:lang w:val="fr"/>
      </w:rPr>
      <w:t>(</w:t>
    </w:r>
    <w:proofErr w:type="gramStart"/>
    <w:r>
      <w:rPr>
        <w:rFonts w:asciiTheme="minorBidi" w:hAnsiTheme="minorBidi"/>
        <w:lang w:val="fr"/>
      </w:rPr>
      <w:t>de</w:t>
    </w:r>
    <w:proofErr w:type="gramEnd"/>
    <w:r>
      <w:rPr>
        <w:rFonts w:asciiTheme="minorBidi" w:hAnsiTheme="minorBidi"/>
        <w:lang w:val="fr"/>
      </w:rPr>
      <w:t xml:space="preserve"> l’UNESCO)</w:t>
    </w:r>
  </w:p>
  <w:p w14:paraId="66E3C903" w14:textId="77777777" w:rsidR="00C12E5A" w:rsidRPr="007B00D3" w:rsidRDefault="00C12E5A" w:rsidP="00C12E5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lang w:val="fr-FR"/>
      </w:rPr>
    </w:pPr>
  </w:p>
  <w:p w14:paraId="4BA375D2" w14:textId="3BCA84F4" w:rsidR="00C12E5A" w:rsidRPr="007B00D3"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lang w:val="fr-FR"/>
      </w:rPr>
    </w:pPr>
    <w:r>
      <w:rPr>
        <w:rFonts w:asciiTheme="minorBidi" w:hAnsiTheme="minorBidi"/>
        <w:b/>
        <w:bCs/>
        <w:lang w:val="fr"/>
      </w:rPr>
      <w:t>Trente-troisième session de l'Assemblée</w:t>
    </w:r>
  </w:p>
  <w:p w14:paraId="58EBCB2F" w14:textId="18A6D34D" w:rsidR="00C12E5A" w:rsidRPr="007B00D3"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lang w:val="fr-FR"/>
      </w:rPr>
    </w:pPr>
    <w:r>
      <w:rPr>
        <w:rFonts w:asciiTheme="minorBidi" w:hAnsiTheme="minorBidi"/>
        <w:lang w:val="fr"/>
      </w:rPr>
      <w:t>UNESCO, 25 juin - 3 juillet 2025</w:t>
    </w:r>
  </w:p>
  <w:p w14:paraId="68DEB85E" w14:textId="77777777" w:rsidR="00C12E5A" w:rsidRPr="007B00D3"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lang w:val="fr-FR"/>
      </w:rPr>
    </w:pPr>
  </w:p>
  <w:p w14:paraId="4B804AF5" w14:textId="77777777" w:rsidR="00C12E5A" w:rsidRPr="007B00D3"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lang w:val="fr-FR"/>
      </w:rPr>
    </w:pPr>
  </w:p>
  <w:p w14:paraId="56DFEACC" w14:textId="77777777" w:rsidR="00C12E5A" w:rsidRPr="007B00D3"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lang w:val="fr-FR"/>
      </w:rPr>
    </w:pPr>
  </w:p>
  <w:p w14:paraId="4353D660" w14:textId="77777777" w:rsidR="00C12E5A" w:rsidRPr="007B00D3" w:rsidRDefault="00C12E5A" w:rsidP="00C12E5A">
    <w:pPr>
      <w:jc w:val="center"/>
      <w:rPr>
        <w:rFonts w:asciiTheme="minorBidi" w:hAnsiTheme="minorBidi"/>
        <w:lang w:val="fr-FR"/>
      </w:rPr>
    </w:pPr>
  </w:p>
  <w:p w14:paraId="0253EDC1" w14:textId="77777777" w:rsidR="00C12E5A" w:rsidRPr="007B00D3" w:rsidRDefault="00C12E5A" w:rsidP="00C12E5A">
    <w:pPr>
      <w:jc w:val="center"/>
      <w:rPr>
        <w:rFonts w:asciiTheme="minorBidi" w:hAnsiTheme="minorBidi"/>
        <w:lang w:val="fr-FR"/>
      </w:rPr>
    </w:pPr>
  </w:p>
  <w:p w14:paraId="53E488E5" w14:textId="77777777" w:rsidR="000156E0" w:rsidRPr="007B00D3" w:rsidRDefault="000156E0" w:rsidP="000156E0">
    <w:pPr>
      <w:jc w:val="center"/>
      <w:rPr>
        <w:rFonts w:cs="Arial"/>
        <w:szCs w:val="22"/>
        <w:lang w:val="fr-FR"/>
      </w:rPr>
    </w:pPr>
  </w:p>
  <w:p w14:paraId="0164A3F9" w14:textId="724115FF" w:rsidR="000156E0" w:rsidRPr="007B00D3" w:rsidRDefault="000156E0" w:rsidP="00AD7234">
    <w:pPr>
      <w:pStyle w:val="Heading7"/>
      <w:tabs>
        <w:tab w:val="left" w:pos="5920"/>
      </w:tabs>
      <w:spacing w:line="240" w:lineRule="auto"/>
      <w:rPr>
        <w:rFonts w:cs="Arial"/>
        <w:sz w:val="24"/>
        <w:lang w:val="fr-FR"/>
      </w:rPr>
    </w:pPr>
    <w:r>
      <w:rPr>
        <w:rFonts w:cs="Arial"/>
        <w:sz w:val="24"/>
        <w:lang w:val="fr"/>
      </w:rPr>
      <w:t xml:space="preserve">Point </w:t>
    </w:r>
    <w:r>
      <w:rPr>
        <w:rFonts w:cs="Arial"/>
        <w:b/>
        <w:bCs/>
        <w:sz w:val="24"/>
        <w:lang w:val="fr"/>
      </w:rPr>
      <w:t>4.4</w:t>
    </w:r>
    <w:r>
      <w:rPr>
        <w:rFonts w:cs="Arial"/>
        <w:sz w:val="24"/>
        <w:lang w:val="fr"/>
      </w:rPr>
      <w:t xml:space="preserve"> de l'ordre du jour provisoire</w:t>
    </w:r>
  </w:p>
  <w:p w14:paraId="0CF3255B" w14:textId="77777777" w:rsidR="000156E0" w:rsidRPr="007B00D3" w:rsidRDefault="000156E0" w:rsidP="000156E0">
    <w:pPr>
      <w:rPr>
        <w:rFonts w:cs="Arial"/>
        <w:szCs w:val="22"/>
        <w:lang w:val="fr-FR"/>
      </w:rPr>
    </w:pPr>
  </w:p>
  <w:p w14:paraId="1E581F27" w14:textId="77777777" w:rsidR="00441140" w:rsidRPr="007B00D3" w:rsidRDefault="00441140" w:rsidP="00DF2FB9">
    <w:pPr>
      <w:rPr>
        <w:rFonts w:cs="Arial"/>
        <w:szCs w:val="22"/>
        <w:lang w:val="fr-FR"/>
      </w:rPr>
    </w:pPr>
  </w:p>
  <w:p w14:paraId="35AFDEFB" w14:textId="2BE5E9A9" w:rsidR="00441140" w:rsidRPr="007B00D3" w:rsidRDefault="00AC32C8" w:rsidP="00515584">
    <w:pPr>
      <w:pStyle w:val="Docheading"/>
      <w:spacing w:after="0"/>
      <w:rPr>
        <w:color w:val="000000"/>
        <w:sz w:val="22"/>
        <w:szCs w:val="22"/>
        <w:lang w:val="fr-FR"/>
      </w:rPr>
    </w:pPr>
    <w:r>
      <w:rPr>
        <w:color w:val="000000"/>
        <w:sz w:val="22"/>
        <w:szCs w:val="22"/>
        <w:lang w:val="fr"/>
      </w:rPr>
      <w:t>Projet de plan d'action de la COI pour l'initiation à l'océan pour 2026-2030</w:t>
    </w:r>
  </w:p>
  <w:p w14:paraId="370A056C" w14:textId="77777777" w:rsidR="00441140" w:rsidRPr="007B00D3" w:rsidRDefault="00441140" w:rsidP="00DF2FB9">
    <w:pPr>
      <w:pStyle w:val="Header"/>
      <w:rPr>
        <w:rFonts w:cs="Arial"/>
        <w:b/>
        <w:szCs w:val="22"/>
        <w:lang w:val="fr-FR"/>
      </w:rPr>
    </w:pPr>
  </w:p>
  <w:p w14:paraId="167EC998" w14:textId="77777777" w:rsidR="00441140" w:rsidRPr="007B00D3" w:rsidRDefault="00441140">
    <w:pPr>
      <w:pStyle w:val="Header"/>
      <w:rPr>
        <w:rFonts w:cs="Arial"/>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695D" w14:textId="79604A59" w:rsidR="00441140" w:rsidRPr="006842FA" w:rsidRDefault="00242324" w:rsidP="00C12E5A">
    <w:pPr>
      <w:pStyle w:val="Header"/>
      <w:tabs>
        <w:tab w:val="clear" w:pos="8306"/>
      </w:tabs>
      <w:rPr>
        <w:rFonts w:cs="Arial"/>
        <w:sz w:val="20"/>
        <w:szCs w:val="20"/>
      </w:rPr>
    </w:pPr>
    <w:r>
      <w:rPr>
        <w:rFonts w:cs="Arial"/>
        <w:sz w:val="20"/>
        <w:szCs w:val="20"/>
        <w:lang w:val="fr"/>
      </w:rPr>
      <w:t>IOC/A-33/4.</w:t>
    </w:r>
    <w:proofErr w:type="gramStart"/>
    <w:r>
      <w:rPr>
        <w:rFonts w:cs="Arial"/>
        <w:sz w:val="20"/>
        <w:szCs w:val="20"/>
        <w:lang w:val="fr"/>
      </w:rPr>
      <w:t>4.Doc</w:t>
    </w:r>
    <w:proofErr w:type="gramEnd"/>
    <w:r>
      <w:rPr>
        <w:rFonts w:cs="Arial"/>
        <w:sz w:val="20"/>
        <w:szCs w:val="20"/>
        <w:lang w:val="fr"/>
      </w:rPr>
      <w:t>(1) – 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4</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F2C3" w14:textId="343C5C8B" w:rsidR="0037249C" w:rsidRPr="006842FA" w:rsidRDefault="00EA6689" w:rsidP="00AA2CD5">
    <w:pPr>
      <w:pStyle w:val="Header"/>
      <w:tabs>
        <w:tab w:val="clear" w:pos="8306"/>
      </w:tabs>
      <w:ind w:firstLine="6804"/>
      <w:rPr>
        <w:rFonts w:cs="Arial"/>
        <w:sz w:val="20"/>
        <w:szCs w:val="20"/>
      </w:rPr>
    </w:pPr>
    <w:r>
      <w:rPr>
        <w:rFonts w:cs="Arial"/>
        <w:sz w:val="20"/>
        <w:szCs w:val="20"/>
        <w:lang w:val="fr"/>
      </w:rPr>
      <w:t>IOC/A-33/4.</w:t>
    </w:r>
    <w:proofErr w:type="gramStart"/>
    <w:r>
      <w:rPr>
        <w:rFonts w:cs="Arial"/>
        <w:sz w:val="20"/>
        <w:szCs w:val="20"/>
        <w:lang w:val="fr"/>
      </w:rPr>
      <w:t>4.Doc</w:t>
    </w:r>
    <w:proofErr w:type="gramEnd"/>
    <w:r>
      <w:rPr>
        <w:rFonts w:cs="Arial"/>
        <w:sz w:val="20"/>
        <w:szCs w:val="20"/>
        <w:lang w:val="fr"/>
      </w:rPr>
      <w:t>(1) – 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3</w:t>
    </w:r>
    <w:r>
      <w:rPr>
        <w:rStyle w:val="PageNumber"/>
        <w:rFonts w:cs="Arial"/>
        <w:sz w:val="20"/>
        <w:szCs w:val="20"/>
        <w:lang w:val="fr"/>
      </w:rPr>
      <w:fldChar w:fldCharType="end"/>
    </w:r>
  </w:p>
  <w:p w14:paraId="6AAB52E1" w14:textId="77777777" w:rsidR="00441140" w:rsidRPr="00424DE6" w:rsidRDefault="00441140" w:rsidP="00AA2CD5">
    <w:pPr>
      <w:pStyle w:val="Header"/>
      <w:ind w:left="8364" w:firstLine="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F427" w14:textId="2E26F68C" w:rsidR="00307660" w:rsidRPr="006842FA" w:rsidRDefault="00242324" w:rsidP="00AA2CD5">
    <w:pPr>
      <w:pStyle w:val="Header"/>
      <w:tabs>
        <w:tab w:val="clear" w:pos="8306"/>
      </w:tabs>
      <w:ind w:right="119"/>
      <w:jc w:val="right"/>
      <w:rPr>
        <w:rFonts w:cs="Arial"/>
        <w:sz w:val="20"/>
        <w:szCs w:val="20"/>
      </w:rPr>
    </w:pPr>
    <w:r>
      <w:rPr>
        <w:rFonts w:cs="Arial"/>
        <w:sz w:val="20"/>
        <w:szCs w:val="20"/>
        <w:lang w:val="fr"/>
      </w:rPr>
      <w:t>IOC/A-33/4.</w:t>
    </w:r>
    <w:proofErr w:type="gramStart"/>
    <w:r>
      <w:rPr>
        <w:rFonts w:cs="Arial"/>
        <w:sz w:val="20"/>
        <w:szCs w:val="20"/>
        <w:lang w:val="fr"/>
      </w:rPr>
      <w:t>4.Doc</w:t>
    </w:r>
    <w:proofErr w:type="gramEnd"/>
    <w:r>
      <w:rPr>
        <w:rFonts w:cs="Arial"/>
        <w:sz w:val="20"/>
        <w:szCs w:val="20"/>
        <w:lang w:val="fr"/>
      </w:rPr>
      <w:t>(1) – page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54160"/>
    <w:multiLevelType w:val="hybridMultilevel"/>
    <w:tmpl w:val="1F568C2A"/>
    <w:lvl w:ilvl="0" w:tplc="D0469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9"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0"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16cid:durableId="572937752">
    <w:abstractNumId w:val="10"/>
  </w:num>
  <w:num w:numId="2" w16cid:durableId="1678075405">
    <w:abstractNumId w:val="16"/>
  </w:num>
  <w:num w:numId="3" w16cid:durableId="2006280147">
    <w:abstractNumId w:val="0"/>
  </w:num>
  <w:num w:numId="4" w16cid:durableId="1321991">
    <w:abstractNumId w:val="2"/>
  </w:num>
  <w:num w:numId="5" w16cid:durableId="1734548371">
    <w:abstractNumId w:val="4"/>
  </w:num>
  <w:num w:numId="6" w16cid:durableId="946540261">
    <w:abstractNumId w:val="16"/>
  </w:num>
  <w:num w:numId="7" w16cid:durableId="761416369">
    <w:abstractNumId w:val="16"/>
  </w:num>
  <w:num w:numId="8" w16cid:durableId="587884316">
    <w:abstractNumId w:val="23"/>
  </w:num>
  <w:num w:numId="9" w16cid:durableId="1526602520">
    <w:abstractNumId w:val="12"/>
  </w:num>
  <w:num w:numId="10" w16cid:durableId="1237016383">
    <w:abstractNumId w:val="9"/>
  </w:num>
  <w:num w:numId="11" w16cid:durableId="1680545545">
    <w:abstractNumId w:val="20"/>
  </w:num>
  <w:num w:numId="12" w16cid:durableId="566458689">
    <w:abstractNumId w:val="21"/>
  </w:num>
  <w:num w:numId="13" w16cid:durableId="247929692">
    <w:abstractNumId w:val="18"/>
  </w:num>
  <w:num w:numId="14" w16cid:durableId="696547056">
    <w:abstractNumId w:val="14"/>
  </w:num>
  <w:num w:numId="15" w16cid:durableId="1131822702">
    <w:abstractNumId w:val="24"/>
  </w:num>
  <w:num w:numId="16" w16cid:durableId="693461447">
    <w:abstractNumId w:val="11"/>
  </w:num>
  <w:num w:numId="17" w16cid:durableId="1102726446">
    <w:abstractNumId w:val="7"/>
  </w:num>
  <w:num w:numId="18" w16cid:durableId="35786334">
    <w:abstractNumId w:val="17"/>
  </w:num>
  <w:num w:numId="19" w16cid:durableId="207889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318763">
    <w:abstractNumId w:val="3"/>
  </w:num>
  <w:num w:numId="21" w16cid:durableId="1722483817">
    <w:abstractNumId w:val="16"/>
    <w:lvlOverride w:ilvl="0">
      <w:startOverride w:val="1"/>
    </w:lvlOverride>
  </w:num>
  <w:num w:numId="22" w16cid:durableId="1832406208">
    <w:abstractNumId w:val="16"/>
  </w:num>
  <w:num w:numId="23" w16cid:durableId="1749376128">
    <w:abstractNumId w:val="16"/>
  </w:num>
  <w:num w:numId="24" w16cid:durableId="1684891873">
    <w:abstractNumId w:val="8"/>
  </w:num>
  <w:num w:numId="25" w16cid:durableId="1624456666">
    <w:abstractNumId w:val="22"/>
  </w:num>
  <w:num w:numId="26" w16cid:durableId="669796030">
    <w:abstractNumId w:val="16"/>
  </w:num>
  <w:num w:numId="27" w16cid:durableId="1807312026">
    <w:abstractNumId w:val="5"/>
  </w:num>
  <w:num w:numId="28" w16cid:durableId="801994466">
    <w:abstractNumId w:val="6"/>
  </w:num>
  <w:num w:numId="29" w16cid:durableId="400448360">
    <w:abstractNumId w:val="1"/>
  </w:num>
  <w:num w:numId="30" w16cid:durableId="1931044810">
    <w:abstractNumId w:val="1"/>
  </w:num>
  <w:num w:numId="31" w16cid:durableId="359353575">
    <w:abstractNumId w:val="1"/>
  </w:num>
  <w:num w:numId="32" w16cid:durableId="189152868">
    <w:abstractNumId w:val="1"/>
  </w:num>
  <w:num w:numId="33" w16cid:durableId="1190411679">
    <w:abstractNumId w:val="1"/>
  </w:num>
  <w:num w:numId="34" w16cid:durableId="1090857255">
    <w:abstractNumId w:val="1"/>
  </w:num>
  <w:num w:numId="35" w16cid:durableId="128254715">
    <w:abstractNumId w:val="1"/>
  </w:num>
  <w:num w:numId="36" w16cid:durableId="1063483451">
    <w:abstractNumId w:val="1"/>
  </w:num>
  <w:num w:numId="37" w16cid:durableId="419177891">
    <w:abstractNumId w:val="1"/>
  </w:num>
  <w:num w:numId="38" w16cid:durableId="296492527">
    <w:abstractNumId w:val="1"/>
  </w:num>
  <w:num w:numId="39" w16cid:durableId="1734766860">
    <w:abstractNumId w:val="1"/>
  </w:num>
  <w:num w:numId="40" w16cid:durableId="567305042">
    <w:abstractNumId w:val="1"/>
  </w:num>
  <w:num w:numId="41" w16cid:durableId="1726948244">
    <w:abstractNumId w:val="19"/>
  </w:num>
  <w:num w:numId="42" w16cid:durableId="557112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278A0"/>
    <w:rsid w:val="0003688F"/>
    <w:rsid w:val="00040227"/>
    <w:rsid w:val="000417CB"/>
    <w:rsid w:val="000560F7"/>
    <w:rsid w:val="00062051"/>
    <w:rsid w:val="00076BD8"/>
    <w:rsid w:val="00084687"/>
    <w:rsid w:val="00085274"/>
    <w:rsid w:val="00085D6A"/>
    <w:rsid w:val="00085D85"/>
    <w:rsid w:val="00086969"/>
    <w:rsid w:val="00090A62"/>
    <w:rsid w:val="000B276A"/>
    <w:rsid w:val="000B693C"/>
    <w:rsid w:val="000B7E2A"/>
    <w:rsid w:val="000C2EE5"/>
    <w:rsid w:val="000C38C8"/>
    <w:rsid w:val="000C61A0"/>
    <w:rsid w:val="000C6E08"/>
    <w:rsid w:val="000D16AC"/>
    <w:rsid w:val="000D5B8F"/>
    <w:rsid w:val="000E0239"/>
    <w:rsid w:val="000E3E1A"/>
    <w:rsid w:val="000E6EE5"/>
    <w:rsid w:val="000E73F9"/>
    <w:rsid w:val="000F0254"/>
    <w:rsid w:val="0010242E"/>
    <w:rsid w:val="001156AE"/>
    <w:rsid w:val="00123719"/>
    <w:rsid w:val="001241D7"/>
    <w:rsid w:val="0012479D"/>
    <w:rsid w:val="001370E4"/>
    <w:rsid w:val="00137BED"/>
    <w:rsid w:val="00137E97"/>
    <w:rsid w:val="001448C4"/>
    <w:rsid w:val="00152A1B"/>
    <w:rsid w:val="00155BA3"/>
    <w:rsid w:val="00163192"/>
    <w:rsid w:val="00166397"/>
    <w:rsid w:val="00167158"/>
    <w:rsid w:val="00171EF4"/>
    <w:rsid w:val="001732BA"/>
    <w:rsid w:val="00184B8E"/>
    <w:rsid w:val="001877F5"/>
    <w:rsid w:val="00196052"/>
    <w:rsid w:val="00196F31"/>
    <w:rsid w:val="001A037F"/>
    <w:rsid w:val="001A58AE"/>
    <w:rsid w:val="001A63A0"/>
    <w:rsid w:val="001B3B24"/>
    <w:rsid w:val="001C21FC"/>
    <w:rsid w:val="001C2C69"/>
    <w:rsid w:val="001C6455"/>
    <w:rsid w:val="001C7875"/>
    <w:rsid w:val="001D27FC"/>
    <w:rsid w:val="001D75DB"/>
    <w:rsid w:val="001E0980"/>
    <w:rsid w:val="001E7083"/>
    <w:rsid w:val="001E7522"/>
    <w:rsid w:val="001F5E0D"/>
    <w:rsid w:val="00203217"/>
    <w:rsid w:val="00217DF6"/>
    <w:rsid w:val="00223053"/>
    <w:rsid w:val="00242324"/>
    <w:rsid w:val="002579C2"/>
    <w:rsid w:val="002652F9"/>
    <w:rsid w:val="00274BB0"/>
    <w:rsid w:val="0027622C"/>
    <w:rsid w:val="002810CD"/>
    <w:rsid w:val="00285CF5"/>
    <w:rsid w:val="002A0AE0"/>
    <w:rsid w:val="002A19EF"/>
    <w:rsid w:val="002B282C"/>
    <w:rsid w:val="002B7A48"/>
    <w:rsid w:val="002C7DE3"/>
    <w:rsid w:val="002D14C8"/>
    <w:rsid w:val="002D441C"/>
    <w:rsid w:val="002D52FA"/>
    <w:rsid w:val="002E0859"/>
    <w:rsid w:val="002E09D1"/>
    <w:rsid w:val="002E2C57"/>
    <w:rsid w:val="002E2D68"/>
    <w:rsid w:val="002E6768"/>
    <w:rsid w:val="002E6D7F"/>
    <w:rsid w:val="002F7D99"/>
    <w:rsid w:val="00305778"/>
    <w:rsid w:val="00307660"/>
    <w:rsid w:val="0031161D"/>
    <w:rsid w:val="003178E9"/>
    <w:rsid w:val="00317E5D"/>
    <w:rsid w:val="003404ED"/>
    <w:rsid w:val="00340A23"/>
    <w:rsid w:val="0034156B"/>
    <w:rsid w:val="00347E19"/>
    <w:rsid w:val="003623CC"/>
    <w:rsid w:val="003631A7"/>
    <w:rsid w:val="003640DC"/>
    <w:rsid w:val="00364C91"/>
    <w:rsid w:val="0037184C"/>
    <w:rsid w:val="0037249C"/>
    <w:rsid w:val="003756CF"/>
    <w:rsid w:val="0038059E"/>
    <w:rsid w:val="003805F5"/>
    <w:rsid w:val="00387AE8"/>
    <w:rsid w:val="00393543"/>
    <w:rsid w:val="003A0024"/>
    <w:rsid w:val="003A1612"/>
    <w:rsid w:val="003A561A"/>
    <w:rsid w:val="003A7860"/>
    <w:rsid w:val="003B3CAC"/>
    <w:rsid w:val="003B5530"/>
    <w:rsid w:val="003D3711"/>
    <w:rsid w:val="003E0E67"/>
    <w:rsid w:val="003F43F9"/>
    <w:rsid w:val="003F7186"/>
    <w:rsid w:val="004002D4"/>
    <w:rsid w:val="00413F17"/>
    <w:rsid w:val="004165C9"/>
    <w:rsid w:val="00424DE6"/>
    <w:rsid w:val="00434F47"/>
    <w:rsid w:val="0043609D"/>
    <w:rsid w:val="00441140"/>
    <w:rsid w:val="00451B96"/>
    <w:rsid w:val="004529B8"/>
    <w:rsid w:val="00454C74"/>
    <w:rsid w:val="00467E3F"/>
    <w:rsid w:val="004827E4"/>
    <w:rsid w:val="0048449B"/>
    <w:rsid w:val="00490261"/>
    <w:rsid w:val="0049221C"/>
    <w:rsid w:val="00497E20"/>
    <w:rsid w:val="004A135F"/>
    <w:rsid w:val="004A5784"/>
    <w:rsid w:val="004B4ECA"/>
    <w:rsid w:val="004B7BD6"/>
    <w:rsid w:val="004C1625"/>
    <w:rsid w:val="004D4543"/>
    <w:rsid w:val="004D6679"/>
    <w:rsid w:val="004E0B15"/>
    <w:rsid w:val="004F397F"/>
    <w:rsid w:val="004F7D6C"/>
    <w:rsid w:val="0050245B"/>
    <w:rsid w:val="00515584"/>
    <w:rsid w:val="00525395"/>
    <w:rsid w:val="00526572"/>
    <w:rsid w:val="0053255C"/>
    <w:rsid w:val="00536148"/>
    <w:rsid w:val="005407B6"/>
    <w:rsid w:val="00547068"/>
    <w:rsid w:val="0058198C"/>
    <w:rsid w:val="00587137"/>
    <w:rsid w:val="00590C03"/>
    <w:rsid w:val="005B2FDF"/>
    <w:rsid w:val="005B57CA"/>
    <w:rsid w:val="005B5B97"/>
    <w:rsid w:val="005C02B7"/>
    <w:rsid w:val="005C7A36"/>
    <w:rsid w:val="005C7D76"/>
    <w:rsid w:val="005D0ADD"/>
    <w:rsid w:val="005E1C99"/>
    <w:rsid w:val="005E544C"/>
    <w:rsid w:val="005E6889"/>
    <w:rsid w:val="005F4D23"/>
    <w:rsid w:val="005F6E3A"/>
    <w:rsid w:val="00602A67"/>
    <w:rsid w:val="006110DA"/>
    <w:rsid w:val="0062678D"/>
    <w:rsid w:val="006308BD"/>
    <w:rsid w:val="00633EA5"/>
    <w:rsid w:val="00637672"/>
    <w:rsid w:val="00676F33"/>
    <w:rsid w:val="0068128E"/>
    <w:rsid w:val="006842FA"/>
    <w:rsid w:val="0068682C"/>
    <w:rsid w:val="00687541"/>
    <w:rsid w:val="00690A0C"/>
    <w:rsid w:val="00690FD2"/>
    <w:rsid w:val="00693199"/>
    <w:rsid w:val="00694465"/>
    <w:rsid w:val="00696079"/>
    <w:rsid w:val="006A761F"/>
    <w:rsid w:val="006B2FDD"/>
    <w:rsid w:val="006B4B95"/>
    <w:rsid w:val="006B51BA"/>
    <w:rsid w:val="006B59E2"/>
    <w:rsid w:val="006B7489"/>
    <w:rsid w:val="006C18D9"/>
    <w:rsid w:val="006C1BDA"/>
    <w:rsid w:val="006C6449"/>
    <w:rsid w:val="006D1125"/>
    <w:rsid w:val="006D3998"/>
    <w:rsid w:val="006D5041"/>
    <w:rsid w:val="006E1454"/>
    <w:rsid w:val="006E3870"/>
    <w:rsid w:val="006E692F"/>
    <w:rsid w:val="006E7073"/>
    <w:rsid w:val="006F0C64"/>
    <w:rsid w:val="006F1F38"/>
    <w:rsid w:val="00703F52"/>
    <w:rsid w:val="00723A8F"/>
    <w:rsid w:val="00735830"/>
    <w:rsid w:val="007367B0"/>
    <w:rsid w:val="00737A18"/>
    <w:rsid w:val="00741CAA"/>
    <w:rsid w:val="007457B7"/>
    <w:rsid w:val="00746B89"/>
    <w:rsid w:val="007471D6"/>
    <w:rsid w:val="00762C36"/>
    <w:rsid w:val="00785386"/>
    <w:rsid w:val="007870B1"/>
    <w:rsid w:val="0079212B"/>
    <w:rsid w:val="007B00D3"/>
    <w:rsid w:val="007B1B9A"/>
    <w:rsid w:val="007C1458"/>
    <w:rsid w:val="007D3B71"/>
    <w:rsid w:val="007E4F92"/>
    <w:rsid w:val="007F78E8"/>
    <w:rsid w:val="00801754"/>
    <w:rsid w:val="008048D2"/>
    <w:rsid w:val="00806C60"/>
    <w:rsid w:val="00813CAF"/>
    <w:rsid w:val="008302D7"/>
    <w:rsid w:val="00831211"/>
    <w:rsid w:val="0084251A"/>
    <w:rsid w:val="00850CB1"/>
    <w:rsid w:val="00853565"/>
    <w:rsid w:val="00854DA0"/>
    <w:rsid w:val="00863113"/>
    <w:rsid w:val="00867FCD"/>
    <w:rsid w:val="00870C14"/>
    <w:rsid w:val="00870CE7"/>
    <w:rsid w:val="008754BE"/>
    <w:rsid w:val="00875ECD"/>
    <w:rsid w:val="008823B5"/>
    <w:rsid w:val="008849F0"/>
    <w:rsid w:val="0089077E"/>
    <w:rsid w:val="00891331"/>
    <w:rsid w:val="00891D09"/>
    <w:rsid w:val="00893AD3"/>
    <w:rsid w:val="0089563B"/>
    <w:rsid w:val="008A4F60"/>
    <w:rsid w:val="008A6E5C"/>
    <w:rsid w:val="008B2DC6"/>
    <w:rsid w:val="008B384B"/>
    <w:rsid w:val="008B4705"/>
    <w:rsid w:val="008B4C73"/>
    <w:rsid w:val="008D1EEC"/>
    <w:rsid w:val="008D2398"/>
    <w:rsid w:val="008D548F"/>
    <w:rsid w:val="008E3DD1"/>
    <w:rsid w:val="008F0FBC"/>
    <w:rsid w:val="008F5B6C"/>
    <w:rsid w:val="008F6942"/>
    <w:rsid w:val="009026D3"/>
    <w:rsid w:val="00936C3F"/>
    <w:rsid w:val="00937EF7"/>
    <w:rsid w:val="0094763F"/>
    <w:rsid w:val="00950A83"/>
    <w:rsid w:val="00952863"/>
    <w:rsid w:val="00961211"/>
    <w:rsid w:val="0096159B"/>
    <w:rsid w:val="00966A0F"/>
    <w:rsid w:val="00980050"/>
    <w:rsid w:val="00980720"/>
    <w:rsid w:val="00980B08"/>
    <w:rsid w:val="00987BBD"/>
    <w:rsid w:val="00993CA4"/>
    <w:rsid w:val="009A62A9"/>
    <w:rsid w:val="009B2E7D"/>
    <w:rsid w:val="009B63AB"/>
    <w:rsid w:val="009C0A89"/>
    <w:rsid w:val="009C13EF"/>
    <w:rsid w:val="009C15B1"/>
    <w:rsid w:val="009D30AD"/>
    <w:rsid w:val="009E48BD"/>
    <w:rsid w:val="009E6A03"/>
    <w:rsid w:val="009E78BB"/>
    <w:rsid w:val="009F2FC0"/>
    <w:rsid w:val="009F7769"/>
    <w:rsid w:val="00A01A30"/>
    <w:rsid w:val="00A02F9F"/>
    <w:rsid w:val="00A11697"/>
    <w:rsid w:val="00A14093"/>
    <w:rsid w:val="00A203FC"/>
    <w:rsid w:val="00A23B4A"/>
    <w:rsid w:val="00A25BC8"/>
    <w:rsid w:val="00A43E9C"/>
    <w:rsid w:val="00A51715"/>
    <w:rsid w:val="00A66FC7"/>
    <w:rsid w:val="00A67718"/>
    <w:rsid w:val="00A759A6"/>
    <w:rsid w:val="00A92572"/>
    <w:rsid w:val="00A92893"/>
    <w:rsid w:val="00A931AA"/>
    <w:rsid w:val="00AA2B13"/>
    <w:rsid w:val="00AA2CD5"/>
    <w:rsid w:val="00AB50B8"/>
    <w:rsid w:val="00AC32C8"/>
    <w:rsid w:val="00AC6A22"/>
    <w:rsid w:val="00AC6BA4"/>
    <w:rsid w:val="00AC773C"/>
    <w:rsid w:val="00AD3D55"/>
    <w:rsid w:val="00AD494A"/>
    <w:rsid w:val="00AD7234"/>
    <w:rsid w:val="00AE329C"/>
    <w:rsid w:val="00B042BC"/>
    <w:rsid w:val="00B06427"/>
    <w:rsid w:val="00B13226"/>
    <w:rsid w:val="00B37EDA"/>
    <w:rsid w:val="00B55C66"/>
    <w:rsid w:val="00B64631"/>
    <w:rsid w:val="00B722DE"/>
    <w:rsid w:val="00B73F4F"/>
    <w:rsid w:val="00B818D2"/>
    <w:rsid w:val="00B83068"/>
    <w:rsid w:val="00B838FB"/>
    <w:rsid w:val="00B94164"/>
    <w:rsid w:val="00BA0B22"/>
    <w:rsid w:val="00BA76D9"/>
    <w:rsid w:val="00BB5D00"/>
    <w:rsid w:val="00BC2FD9"/>
    <w:rsid w:val="00BC7416"/>
    <w:rsid w:val="00BD6603"/>
    <w:rsid w:val="00BD6E89"/>
    <w:rsid w:val="00BE35BA"/>
    <w:rsid w:val="00BE4427"/>
    <w:rsid w:val="00BE68DC"/>
    <w:rsid w:val="00BF069C"/>
    <w:rsid w:val="00BF1838"/>
    <w:rsid w:val="00BF378D"/>
    <w:rsid w:val="00BF3835"/>
    <w:rsid w:val="00BF45BD"/>
    <w:rsid w:val="00BF6786"/>
    <w:rsid w:val="00BF67E7"/>
    <w:rsid w:val="00C008B0"/>
    <w:rsid w:val="00C05769"/>
    <w:rsid w:val="00C1002D"/>
    <w:rsid w:val="00C11C55"/>
    <w:rsid w:val="00C12E5A"/>
    <w:rsid w:val="00C14DD3"/>
    <w:rsid w:val="00C16294"/>
    <w:rsid w:val="00C253EF"/>
    <w:rsid w:val="00C2635E"/>
    <w:rsid w:val="00C31853"/>
    <w:rsid w:val="00C318D0"/>
    <w:rsid w:val="00C42FFB"/>
    <w:rsid w:val="00C55528"/>
    <w:rsid w:val="00C6486C"/>
    <w:rsid w:val="00C648D3"/>
    <w:rsid w:val="00C6660D"/>
    <w:rsid w:val="00C674AF"/>
    <w:rsid w:val="00C7393A"/>
    <w:rsid w:val="00C75B02"/>
    <w:rsid w:val="00C76160"/>
    <w:rsid w:val="00C77DDE"/>
    <w:rsid w:val="00C86109"/>
    <w:rsid w:val="00C87727"/>
    <w:rsid w:val="00C962F0"/>
    <w:rsid w:val="00CB2684"/>
    <w:rsid w:val="00CC419E"/>
    <w:rsid w:val="00CC7056"/>
    <w:rsid w:val="00CD4AED"/>
    <w:rsid w:val="00CD6EF7"/>
    <w:rsid w:val="00CE1B68"/>
    <w:rsid w:val="00CE799A"/>
    <w:rsid w:val="00CF0138"/>
    <w:rsid w:val="00D013ED"/>
    <w:rsid w:val="00D0416A"/>
    <w:rsid w:val="00D06F71"/>
    <w:rsid w:val="00D166EE"/>
    <w:rsid w:val="00D2392E"/>
    <w:rsid w:val="00D265AD"/>
    <w:rsid w:val="00D27F78"/>
    <w:rsid w:val="00D36BDC"/>
    <w:rsid w:val="00D379A6"/>
    <w:rsid w:val="00D43CC7"/>
    <w:rsid w:val="00D448A1"/>
    <w:rsid w:val="00D44B24"/>
    <w:rsid w:val="00D5049E"/>
    <w:rsid w:val="00D55FEC"/>
    <w:rsid w:val="00D71125"/>
    <w:rsid w:val="00D859D0"/>
    <w:rsid w:val="00D91C09"/>
    <w:rsid w:val="00D92DD1"/>
    <w:rsid w:val="00D95CAD"/>
    <w:rsid w:val="00D96F5C"/>
    <w:rsid w:val="00DB1DFA"/>
    <w:rsid w:val="00DD2477"/>
    <w:rsid w:val="00DE35FF"/>
    <w:rsid w:val="00DE4579"/>
    <w:rsid w:val="00DE6237"/>
    <w:rsid w:val="00DF1664"/>
    <w:rsid w:val="00DF2FB9"/>
    <w:rsid w:val="00DF3AD0"/>
    <w:rsid w:val="00DF41FC"/>
    <w:rsid w:val="00E27F5E"/>
    <w:rsid w:val="00E334EB"/>
    <w:rsid w:val="00E354C3"/>
    <w:rsid w:val="00E454CD"/>
    <w:rsid w:val="00E55234"/>
    <w:rsid w:val="00E608A6"/>
    <w:rsid w:val="00E60CBC"/>
    <w:rsid w:val="00E63DEF"/>
    <w:rsid w:val="00E64936"/>
    <w:rsid w:val="00E71BD3"/>
    <w:rsid w:val="00E75CF6"/>
    <w:rsid w:val="00E86189"/>
    <w:rsid w:val="00EA168C"/>
    <w:rsid w:val="00EA6689"/>
    <w:rsid w:val="00EA6DDF"/>
    <w:rsid w:val="00EB52DB"/>
    <w:rsid w:val="00EC53C8"/>
    <w:rsid w:val="00EC753F"/>
    <w:rsid w:val="00EE0542"/>
    <w:rsid w:val="00EE11A0"/>
    <w:rsid w:val="00EE237B"/>
    <w:rsid w:val="00EF3957"/>
    <w:rsid w:val="00F10024"/>
    <w:rsid w:val="00F10F21"/>
    <w:rsid w:val="00F13BAA"/>
    <w:rsid w:val="00F26226"/>
    <w:rsid w:val="00F269BB"/>
    <w:rsid w:val="00F271BF"/>
    <w:rsid w:val="00F431C9"/>
    <w:rsid w:val="00F463F2"/>
    <w:rsid w:val="00F474F9"/>
    <w:rsid w:val="00F47A40"/>
    <w:rsid w:val="00F50B8E"/>
    <w:rsid w:val="00F5447C"/>
    <w:rsid w:val="00F56CDF"/>
    <w:rsid w:val="00F60A12"/>
    <w:rsid w:val="00F66E0A"/>
    <w:rsid w:val="00F7009F"/>
    <w:rsid w:val="00F70FD9"/>
    <w:rsid w:val="00F74494"/>
    <w:rsid w:val="00F8068F"/>
    <w:rsid w:val="00F8186D"/>
    <w:rsid w:val="00F8204B"/>
    <w:rsid w:val="00F82282"/>
    <w:rsid w:val="00FB3901"/>
    <w:rsid w:val="00FB4B68"/>
    <w:rsid w:val="00FB6A51"/>
    <w:rsid w:val="00FC0813"/>
    <w:rsid w:val="00FC3532"/>
    <w:rsid w:val="00FC54E1"/>
    <w:rsid w:val="00FE2557"/>
    <w:rsid w:val="00FF506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stil3"/>
    <w:basedOn w:val="Normal"/>
    <w:link w:val="ListParagraphChar"/>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EX4subtitles">
    <w:name w:val="EX4 sub titles"/>
    <w:basedOn w:val="Normal"/>
    <w:link w:val="EX4subtitlesChar"/>
    <w:qFormat/>
    <w:rsid w:val="002E2D68"/>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eastAsia="zh-CN"/>
    </w:rPr>
  </w:style>
  <w:style w:type="character" w:customStyle="1" w:styleId="EX4subtitlesChar">
    <w:name w:val="EX4 sub titles Char"/>
    <w:basedOn w:val="DefaultParagraphFont"/>
    <w:link w:val="EX4subtitles"/>
    <w:rsid w:val="002E2D68"/>
    <w:rPr>
      <w:rFonts w:asciiTheme="minorBidi" w:eastAsiaTheme="minorEastAsia" w:hAnsiTheme="minorBidi" w:cstheme="minorBidi"/>
      <w:b/>
      <w:bCs/>
      <w:color w:val="000000"/>
      <w:sz w:val="22"/>
      <w:szCs w:val="22"/>
      <w:lang w:val="en-US" w:eastAsia="zh-CN"/>
    </w:rPr>
  </w:style>
  <w:style w:type="paragraph" w:customStyle="1" w:styleId="EX4texte">
    <w:name w:val="EX4 texte"/>
    <w:basedOn w:val="Normal"/>
    <w:link w:val="EX4texteChar"/>
    <w:autoRedefine/>
    <w:qFormat/>
    <w:rsid w:val="00AA2CD5"/>
    <w:pPr>
      <w:numPr>
        <w:numId w:val="29"/>
      </w:numPr>
      <w:tabs>
        <w:tab w:val="clear" w:pos="567"/>
        <w:tab w:val="left" w:pos="854"/>
      </w:tabs>
      <w:spacing w:after="240"/>
      <w:ind w:left="0" w:firstLine="0"/>
      <w:jc w:val="both"/>
    </w:pPr>
    <w:rPr>
      <w:rFonts w:asciiTheme="minorBidi" w:eastAsia="SimSun" w:hAnsiTheme="minorBidi" w:cstheme="minorBidi"/>
      <w:shd w:val="clear" w:color="auto" w:fill="FFFFFF"/>
      <w:lang w:val="en-IN" w:eastAsia="zh-CN"/>
    </w:rPr>
  </w:style>
  <w:style w:type="character" w:customStyle="1" w:styleId="EX4texteChar">
    <w:name w:val="EX4 texte Char"/>
    <w:basedOn w:val="DefaultParagraphFont"/>
    <w:link w:val="EX4texte"/>
    <w:rsid w:val="00AA2CD5"/>
    <w:rPr>
      <w:rFonts w:asciiTheme="minorBidi" w:eastAsia="SimSun" w:hAnsiTheme="minorBidi" w:cstheme="minorBidi"/>
      <w:snapToGrid w:val="0"/>
      <w:sz w:val="22"/>
      <w:szCs w:val="24"/>
      <w:lang w:val="en-IN" w:eastAsia="zh-C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741CAA"/>
    <w:rPr>
      <w:sz w:val="24"/>
      <w:lang w:val="en-GB" w:eastAsia="en-US"/>
    </w:rPr>
  </w:style>
  <w:style w:type="character" w:styleId="UnresolvedMention">
    <w:name w:val="Unresolved Mention"/>
    <w:basedOn w:val="DefaultParagraphFont"/>
    <w:uiPriority w:val="99"/>
    <w:semiHidden/>
    <w:unhideWhenUsed/>
    <w:rsid w:val="00723A8F"/>
    <w:rPr>
      <w:color w:val="605E5C"/>
      <w:shd w:val="clear" w:color="auto" w:fill="E1DFDD"/>
    </w:rPr>
  </w:style>
  <w:style w:type="character" w:customStyle="1" w:styleId="apple-converted-space">
    <w:name w:val="apple-converted-space"/>
    <w:basedOn w:val="DefaultParagraphFont"/>
    <w:rsid w:val="003E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71272">
      <w:bodyDiv w:val="1"/>
      <w:marLeft w:val="0"/>
      <w:marRight w:val="0"/>
      <w:marTop w:val="0"/>
      <w:marBottom w:val="0"/>
      <w:divBdr>
        <w:top w:val="none" w:sz="0" w:space="0" w:color="auto"/>
        <w:left w:val="none" w:sz="0" w:space="0" w:color="auto"/>
        <w:bottom w:val="none" w:sz="0" w:space="0" w:color="auto"/>
        <w:right w:val="none" w:sz="0" w:space="0" w:color="auto"/>
      </w:divBdr>
    </w:div>
    <w:div w:id="967511557">
      <w:bodyDiv w:val="1"/>
      <w:marLeft w:val="0"/>
      <w:marRight w:val="0"/>
      <w:marTop w:val="0"/>
      <w:marBottom w:val="0"/>
      <w:divBdr>
        <w:top w:val="none" w:sz="0" w:space="0" w:color="auto"/>
        <w:left w:val="none" w:sz="0" w:space="0" w:color="auto"/>
        <w:bottom w:val="none" w:sz="0" w:space="0" w:color="auto"/>
        <w:right w:val="none" w:sz="0" w:space="0" w:color="auto"/>
      </w:divBdr>
    </w:div>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649632432">
      <w:bodyDiv w:val="1"/>
      <w:marLeft w:val="0"/>
      <w:marRight w:val="0"/>
      <w:marTop w:val="0"/>
      <w:marBottom w:val="0"/>
      <w:divBdr>
        <w:top w:val="none" w:sz="0" w:space="0" w:color="auto"/>
        <w:left w:val="none" w:sz="0" w:space="0" w:color="auto"/>
        <w:bottom w:val="none" w:sz="0" w:space="0" w:color="auto"/>
        <w:right w:val="none" w:sz="0" w:space="0" w:color="auto"/>
      </w:divBdr>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 w:id="1828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96" TargetMode="External"/><Relationship Id="rId13" Type="http://schemas.openxmlformats.org/officeDocument/2006/relationships/hyperlink" Target="https://unesdoc.unesco.org/ark:/48223/pf0000375265.locale=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esdoc.unesco.org/ark:/48223/pf0000259086.locale=en" TargetMode="External"/><Relationship Id="rId2" Type="http://schemas.openxmlformats.org/officeDocument/2006/relationships/numbering" Target="numbering.xml"/><Relationship Id="rId16" Type="http://schemas.openxmlformats.org/officeDocument/2006/relationships/hyperlink" Target="https://unesdoc.unesco.org/ark:/48223/pf0000390082.locale=e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nesdoc.unesco.org/ark:/48223/pf0000381388.locale=en"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oceanexpert.org/document/36272" TargetMode="External"/><Relationship Id="rId14" Type="http://schemas.openxmlformats.org/officeDocument/2006/relationships/hyperlink" Target="https://unesdoc.unesco.org/ark:/48223/pf0000390126.local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18B0-5666-440B-8D2F-95A639E105B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WD-IOC27.dotx</Template>
  <TotalTime>1</TotalTime>
  <Pages>10</Pages>
  <Words>2831</Words>
  <Characters>17016</Characters>
  <Application>Microsoft Office Word</Application>
  <DocSecurity>4</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2025-04-16T20:08:00Z</cp:lastPrinted>
  <dcterms:created xsi:type="dcterms:W3CDTF">2025-05-23T15:49:00Z</dcterms:created>
  <dcterms:modified xsi:type="dcterms:W3CDTF">2025-05-23T15:49:00Z</dcterms:modified>
</cp:coreProperties>
</file>