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94D8" w14:textId="77777777" w:rsidR="00E75CF6" w:rsidRPr="006D3998" w:rsidRDefault="00E75C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tblGrid>
      <w:tr w:rsidR="00B83068" w:rsidRPr="006E1454" w14:paraId="6E70F37C" w14:textId="77777777" w:rsidTr="00AA2CD5">
        <w:trPr>
          <w:jc w:val="center"/>
        </w:trPr>
        <w:tc>
          <w:tcPr>
            <w:tcW w:w="7792" w:type="dxa"/>
            <w:tcMar>
              <w:top w:w="170" w:type="dxa"/>
              <w:left w:w="170" w:type="dxa"/>
              <w:bottom w:w="170" w:type="dxa"/>
              <w:right w:w="170" w:type="dxa"/>
            </w:tcMar>
          </w:tcPr>
          <w:p w14:paraId="73D9152E" w14:textId="77777777" w:rsidR="00467E3F" w:rsidRPr="006E1454" w:rsidRDefault="00B83068" w:rsidP="00853565">
            <w:pPr>
              <w:pStyle w:val="Marge"/>
              <w:jc w:val="center"/>
              <w:rPr>
                <w:rFonts w:cs="Arial"/>
                <w:szCs w:val="22"/>
              </w:rPr>
            </w:pPr>
            <w:r w:rsidRPr="006E1454">
              <w:rPr>
                <w:rFonts w:cs="Arial"/>
                <w:szCs w:val="22"/>
                <w:u w:val="single"/>
              </w:rPr>
              <w:t>Summary</w:t>
            </w:r>
          </w:p>
          <w:p w14:paraId="7F57F480" w14:textId="0302336C" w:rsidR="00AC32C8" w:rsidRDefault="00AC32C8" w:rsidP="00602A67">
            <w:pPr>
              <w:pStyle w:val="Marge"/>
              <w:spacing w:after="200"/>
              <w:rPr>
                <w:rFonts w:cs="Arial"/>
              </w:rPr>
            </w:pPr>
            <w:r w:rsidRPr="00AC32C8">
              <w:rPr>
                <w:rFonts w:cs="Arial"/>
              </w:rPr>
              <w:t xml:space="preserve">Decision A-31/3.5.4 </w:t>
            </w:r>
            <w:r>
              <w:rPr>
                <w:rFonts w:cs="Arial"/>
              </w:rPr>
              <w:t xml:space="preserve">(2021) </w:t>
            </w:r>
            <w:r w:rsidRPr="00AC32C8">
              <w:rPr>
                <w:rFonts w:cs="Arial"/>
              </w:rPr>
              <w:t>established an IOC Ocean Literacy Group of Experts for a period of four years, with the Group to report to the IOC Member States on its activities at the 33rd session of the Assembly. It also endorsed the IOC Ocean Literacy Plan of Action 2018</w:t>
            </w:r>
            <w:r>
              <w:rPr>
                <w:rFonts w:cs="Arial"/>
              </w:rPr>
              <w:t>–</w:t>
            </w:r>
            <w:r w:rsidRPr="00AC32C8">
              <w:rPr>
                <w:rFonts w:cs="Arial"/>
              </w:rPr>
              <w:t xml:space="preserve">2021 </w:t>
            </w:r>
            <w:r>
              <w:rPr>
                <w:rFonts w:cs="Arial"/>
              </w:rPr>
              <w:t>(</w:t>
            </w:r>
            <w:hyperlink r:id="rId8" w:history="1">
              <w:r w:rsidR="004D4543" w:rsidRPr="004D4543">
                <w:rPr>
                  <w:rStyle w:val="Hyperlink"/>
                  <w:rFonts w:cs="Arial"/>
                  <w:lang w:val="en-US"/>
                </w:rPr>
                <w:t>IOC/A-31/3.5.4.Doc</w:t>
              </w:r>
            </w:hyperlink>
            <w:r>
              <w:rPr>
                <w:rFonts w:cs="Arial"/>
              </w:rPr>
              <w:t xml:space="preserve">) </w:t>
            </w:r>
            <w:r w:rsidRPr="00AC32C8">
              <w:rPr>
                <w:rFonts w:cs="Arial"/>
              </w:rPr>
              <w:t xml:space="preserve">as a guidance document for the work of the Group of Experts for the four-year period. </w:t>
            </w:r>
            <w:r w:rsidR="00184B8E">
              <w:rPr>
                <w:rFonts w:cs="Arial"/>
              </w:rPr>
              <w:t xml:space="preserve">An addendum to this document with the </w:t>
            </w:r>
            <w:r w:rsidR="00184B8E" w:rsidRPr="00184B8E">
              <w:rPr>
                <w:rFonts w:cs="Arial"/>
                <w:lang w:val="en-US"/>
              </w:rPr>
              <w:t>detailed explanation of the priorities</w:t>
            </w:r>
            <w:r w:rsidR="00184B8E">
              <w:rPr>
                <w:rFonts w:cs="Arial"/>
                <w:lang w:val="en-US"/>
              </w:rPr>
              <w:t xml:space="preserve"> for Ocean Literacy complement this document (in English only).</w:t>
            </w:r>
          </w:p>
          <w:p w14:paraId="5B3F6C6A" w14:textId="33ACD2ED" w:rsidR="00515584" w:rsidRPr="00EC753F" w:rsidRDefault="00AC32C8" w:rsidP="00602A67">
            <w:pPr>
              <w:pStyle w:val="Marge"/>
              <w:spacing w:after="200"/>
              <w:rPr>
                <w:rFonts w:cs="Arial"/>
                <w:szCs w:val="22"/>
              </w:rPr>
            </w:pPr>
            <w:r w:rsidRPr="00AC32C8">
              <w:rPr>
                <w:rFonts w:cs="Arial"/>
              </w:rPr>
              <w:t>This document</w:t>
            </w:r>
            <w:r>
              <w:rPr>
                <w:rFonts w:cs="Arial"/>
              </w:rPr>
              <w:t xml:space="preserve"> prepared by</w:t>
            </w:r>
            <w:r w:rsidRPr="00AC32C8">
              <w:rPr>
                <w:rFonts w:cs="Arial"/>
              </w:rPr>
              <w:t xml:space="preserve"> the Group of Experts</w:t>
            </w:r>
            <w:r>
              <w:rPr>
                <w:rFonts w:cs="Arial"/>
              </w:rPr>
              <w:t xml:space="preserve"> </w:t>
            </w:r>
            <w:r w:rsidRPr="00AC32C8">
              <w:rPr>
                <w:rFonts w:cs="Arial"/>
              </w:rPr>
              <w:t>provid</w:t>
            </w:r>
            <w:r>
              <w:rPr>
                <w:rFonts w:cs="Arial"/>
              </w:rPr>
              <w:t>es</w:t>
            </w:r>
            <w:r w:rsidRPr="00AC32C8">
              <w:rPr>
                <w:rFonts w:cs="Arial"/>
              </w:rPr>
              <w:t xml:space="preserve"> a draft of an updated IOC Ocean Literacy Plan of Action for 2026</w:t>
            </w:r>
            <w:r>
              <w:rPr>
                <w:rFonts w:cs="Arial"/>
              </w:rPr>
              <w:t>–</w:t>
            </w:r>
            <w:r w:rsidRPr="00AC32C8">
              <w:rPr>
                <w:rFonts w:cs="Arial"/>
              </w:rPr>
              <w:t>2030</w:t>
            </w:r>
            <w:r>
              <w:rPr>
                <w:rFonts w:cs="Arial"/>
              </w:rPr>
              <w:t xml:space="preserve"> for the consideration of the Assembly in view of its final adoption by the IOC Executive Council in 2026</w:t>
            </w:r>
            <w:r w:rsidRPr="00AC32C8">
              <w:rPr>
                <w:rFonts w:cs="Arial"/>
              </w:rPr>
              <w:t xml:space="preserve">. </w:t>
            </w:r>
          </w:p>
          <w:p w14:paraId="1082367C" w14:textId="164080C5" w:rsidR="00515584" w:rsidRPr="006E1454" w:rsidRDefault="00515584" w:rsidP="00C008B0">
            <w:pPr>
              <w:pStyle w:val="Marge"/>
              <w:rPr>
                <w:rFonts w:cs="Arial"/>
                <w:szCs w:val="22"/>
              </w:rPr>
            </w:pPr>
            <w:r w:rsidRPr="001370E4">
              <w:rPr>
                <w:rFonts w:cs="Arial"/>
                <w:u w:val="single"/>
              </w:rPr>
              <w:t>The proposed decision(s)</w:t>
            </w:r>
            <w:r w:rsidRPr="001370E4">
              <w:rPr>
                <w:rFonts w:cs="Arial"/>
              </w:rPr>
              <w:t xml:space="preserve"> is referenced </w:t>
            </w:r>
            <w:r w:rsidR="00C008B0">
              <w:rPr>
                <w:rFonts w:cs="Arial"/>
                <w:bCs/>
                <w:color w:val="000000"/>
              </w:rPr>
              <w:t>A-3</w:t>
            </w:r>
            <w:r w:rsidR="00DF41FC">
              <w:rPr>
                <w:rFonts w:cs="Arial"/>
                <w:bCs/>
                <w:color w:val="000000"/>
              </w:rPr>
              <w:t>3</w:t>
            </w:r>
            <w:r w:rsidR="00C008B0">
              <w:rPr>
                <w:rFonts w:cs="Arial"/>
                <w:bCs/>
                <w:color w:val="000000"/>
              </w:rPr>
              <w:t>/</w:t>
            </w:r>
            <w:r w:rsidRPr="001370E4">
              <w:rPr>
                <w:rFonts w:cs="Arial"/>
                <w:bCs/>
                <w:color w:val="000000"/>
              </w:rPr>
              <w:t>Dec.</w:t>
            </w:r>
            <w:r w:rsidR="00AC32C8">
              <w:rPr>
                <w:rFonts w:cs="Arial"/>
                <w:bCs/>
                <w:color w:val="000000"/>
              </w:rPr>
              <w:t>4.4</w:t>
            </w:r>
            <w:r w:rsidRPr="001370E4">
              <w:rPr>
                <w:rFonts w:cs="Arial"/>
                <w:b/>
                <w:color w:val="000000"/>
              </w:rPr>
              <w:t xml:space="preserve"> </w:t>
            </w:r>
            <w:r w:rsidRPr="001370E4">
              <w:rPr>
                <w:rFonts w:cs="Arial"/>
              </w:rPr>
              <w:t xml:space="preserve">in the Provisional Action Paper </w:t>
            </w:r>
            <w:r w:rsidR="0037249C" w:rsidRPr="003B5530">
              <w:rPr>
                <w:rFonts w:cs="Arial"/>
              </w:rPr>
              <w:t>(</w:t>
            </w:r>
            <w:hyperlink r:id="rId9" w:history="1">
              <w:r w:rsidR="0037249C" w:rsidRPr="003B5530">
                <w:rPr>
                  <w:rStyle w:val="Hyperlink"/>
                  <w:rFonts w:cs="Arial"/>
                </w:rPr>
                <w:t>IOC</w:t>
              </w:r>
              <w:r w:rsidR="00C008B0" w:rsidRPr="003B5530">
                <w:rPr>
                  <w:rStyle w:val="Hyperlink"/>
                  <w:rFonts w:cs="Arial"/>
                </w:rPr>
                <w:t>/A-3</w:t>
              </w:r>
              <w:r w:rsidR="00DF41FC" w:rsidRPr="003B5530">
                <w:rPr>
                  <w:rStyle w:val="Hyperlink"/>
                  <w:rFonts w:cs="Arial"/>
                </w:rPr>
                <w:t>3</w:t>
              </w:r>
              <w:r w:rsidR="00C008B0" w:rsidRPr="003B5530">
                <w:rPr>
                  <w:rStyle w:val="Hyperlink"/>
                  <w:rFonts w:cs="Arial"/>
                </w:rPr>
                <w:t>/AP</w:t>
              </w:r>
            </w:hyperlink>
            <w:r w:rsidR="0037249C" w:rsidRPr="003B5530">
              <w:rPr>
                <w:rFonts w:cs="Arial"/>
              </w:rPr>
              <w:t>)</w:t>
            </w:r>
            <w:r w:rsidR="0037249C" w:rsidRPr="001370E4">
              <w:rPr>
                <w:rFonts w:cs="Arial"/>
              </w:rPr>
              <w:t xml:space="preserve"> </w:t>
            </w:r>
            <w:r w:rsidRPr="001370E4">
              <w:rPr>
                <w:rFonts w:cs="Arial"/>
              </w:rPr>
              <w:t>of the</w:t>
            </w:r>
            <w:r w:rsidR="00D71125" w:rsidRPr="00EC753F">
              <w:rPr>
                <w:rFonts w:cs="Arial"/>
                <w:szCs w:val="22"/>
              </w:rPr>
              <w:t xml:space="preserve"> 3</w:t>
            </w:r>
            <w:r w:rsidR="00DF41FC">
              <w:rPr>
                <w:rFonts w:cs="Arial"/>
                <w:szCs w:val="22"/>
              </w:rPr>
              <w:t>3</w:t>
            </w:r>
            <w:r w:rsidR="00DF41FC" w:rsidRPr="00DF41FC">
              <w:rPr>
                <w:rFonts w:cs="Arial"/>
                <w:szCs w:val="22"/>
                <w:vertAlign w:val="superscript"/>
              </w:rPr>
              <w:t>rd</w:t>
            </w:r>
            <w:r w:rsidR="00DF41FC">
              <w:rPr>
                <w:rFonts w:cs="Arial"/>
                <w:szCs w:val="22"/>
              </w:rPr>
              <w:t xml:space="preserve"> </w:t>
            </w:r>
            <w:r w:rsidR="00D71125">
              <w:rPr>
                <w:rFonts w:cs="Arial"/>
                <w:szCs w:val="22"/>
              </w:rPr>
              <w:t>s</w:t>
            </w:r>
            <w:r w:rsidR="0037249C" w:rsidRPr="001370E4">
              <w:rPr>
                <w:rFonts w:cs="Arial"/>
              </w:rPr>
              <w:t>ession</w:t>
            </w:r>
            <w:r w:rsidRPr="001370E4">
              <w:rPr>
                <w:rFonts w:cs="Arial"/>
              </w:rPr>
              <w:t xml:space="preserve"> of </w:t>
            </w:r>
            <w:r w:rsidR="00D71125">
              <w:rPr>
                <w:rFonts w:cs="Arial"/>
              </w:rPr>
              <w:t xml:space="preserve">the </w:t>
            </w:r>
            <w:r w:rsidRPr="001370E4">
              <w:rPr>
                <w:rFonts w:cs="Arial"/>
              </w:rPr>
              <w:t>IOC Assembly</w:t>
            </w:r>
            <w:r w:rsidR="0037249C" w:rsidRPr="001370E4">
              <w:rPr>
                <w:rFonts w:cs="Arial"/>
              </w:rPr>
              <w:t>.</w:t>
            </w:r>
          </w:p>
        </w:tc>
      </w:tr>
    </w:tbl>
    <w:p w14:paraId="7E39BDFA" w14:textId="2724C787" w:rsidR="00746B89" w:rsidRPr="006E1454" w:rsidRDefault="00746B89" w:rsidP="005C7A36">
      <w:pPr>
        <w:pStyle w:val="Heading3"/>
        <w:sectPr w:rsidR="00746B89" w:rsidRPr="006E1454"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5EFCB24C" w14:textId="6158721D" w:rsidR="000B7E2A" w:rsidRPr="003B5530" w:rsidRDefault="009E48BD" w:rsidP="000B7E2A">
      <w:pPr>
        <w:keepNext/>
        <w:keepLines/>
        <w:widowControl w:val="0"/>
        <w:adjustRightInd w:val="0"/>
        <w:spacing w:after="240"/>
        <w:ind w:left="567" w:hanging="567"/>
        <w:jc w:val="both"/>
        <w:textAlignment w:val="baseline"/>
        <w:outlineLvl w:val="1"/>
        <w:rPr>
          <w:rFonts w:cs="Arial"/>
          <w:b/>
          <w:bCs/>
          <w:caps/>
          <w:color w:val="000000" w:themeColor="text1"/>
          <w:szCs w:val="22"/>
        </w:rPr>
      </w:pPr>
      <w:r>
        <w:rPr>
          <w:rFonts w:cs="Arial"/>
          <w:b/>
          <w:bCs/>
          <w:color w:val="000000" w:themeColor="text1"/>
          <w:szCs w:val="22"/>
        </w:rPr>
        <w:lastRenderedPageBreak/>
        <w:t>Introduction</w:t>
      </w:r>
    </w:p>
    <w:p w14:paraId="2FA8BA16" w14:textId="77777777" w:rsidR="009E48BD" w:rsidRDefault="009E48BD" w:rsidP="00BC7416">
      <w:pPr>
        <w:pBdr>
          <w:top w:val="nil"/>
          <w:left w:val="nil"/>
          <w:bottom w:val="nil"/>
          <w:right w:val="nil"/>
          <w:between w:val="nil"/>
        </w:pBdr>
        <w:tabs>
          <w:tab w:val="left" w:pos="709"/>
        </w:tabs>
        <w:spacing w:after="120"/>
        <w:jc w:val="center"/>
        <w:rPr>
          <w:color w:val="000000"/>
        </w:rPr>
      </w:pPr>
      <w:r>
        <w:rPr>
          <w:i/>
        </w:rPr>
        <w:t>"Ocean literacy is the compass guiding us toward a sustainable future. It empowers us to understand the stakes, connect the dots, and take meaningful action."</w:t>
      </w:r>
    </w:p>
    <w:p w14:paraId="76F7A3AC" w14:textId="77777777" w:rsidR="009E48BD" w:rsidRDefault="009E48BD" w:rsidP="009E48BD">
      <w:pPr>
        <w:spacing w:after="240" w:line="276" w:lineRule="auto"/>
        <w:jc w:val="both"/>
      </w:pPr>
      <w:r>
        <w:t>—Peter Thomson, UN Secretary-General’s Special Envoy for the Ocean</w:t>
      </w:r>
    </w:p>
    <w:p w14:paraId="0D699EB6" w14:textId="50961A35" w:rsidR="009E48BD" w:rsidRPr="009E48BD" w:rsidRDefault="009E48BD" w:rsidP="009E48BD">
      <w:pPr>
        <w:pStyle w:val="ListParagraph"/>
        <w:numPr>
          <w:ilvl w:val="0"/>
          <w:numId w:val="42"/>
        </w:numPr>
        <w:snapToGrid w:val="0"/>
        <w:spacing w:before="240" w:after="240"/>
        <w:ind w:left="0" w:firstLine="0"/>
        <w:contextualSpacing w:val="0"/>
        <w:rPr>
          <w:rFonts w:ascii="Arial" w:hAnsi="Arial" w:cs="Arial"/>
          <w:sz w:val="22"/>
          <w:szCs w:val="22"/>
        </w:rPr>
      </w:pPr>
      <w:r w:rsidRPr="009E48BD">
        <w:rPr>
          <w:rFonts w:ascii="Arial" w:hAnsi="Arial" w:cs="Arial"/>
          <w:sz w:val="22"/>
          <w:szCs w:val="22"/>
        </w:rPr>
        <w:t>The ocean is fundamental for all life on Earth, climate stability, biodiversity, and economic prosperity. However, our ocean currently faces multiple threats, including climate change, biodiversity loss, pollution, and unsustainable resource exploitation. Addressing these challenges demands a robust scientific understanding, science-based tools, products and actions for decision making, coupled with widespread public awareness, informed policy development and comprehensive behavioural change. Ocean literacy, when effectively implemented bridges ocean science, decision-making and societal understanding, enabling knowledge-driven actions for ocean sustainability and conservation.</w:t>
      </w:r>
    </w:p>
    <w:p w14:paraId="27FA582D" w14:textId="486EBB2C" w:rsidR="009E48BD" w:rsidRPr="009E48BD" w:rsidRDefault="009E48BD" w:rsidP="009E48BD">
      <w:pPr>
        <w:pStyle w:val="ListParagraph"/>
        <w:numPr>
          <w:ilvl w:val="0"/>
          <w:numId w:val="42"/>
        </w:numPr>
        <w:snapToGrid w:val="0"/>
        <w:spacing w:before="240" w:after="240"/>
        <w:ind w:left="0" w:firstLine="0"/>
        <w:contextualSpacing w:val="0"/>
        <w:rPr>
          <w:rFonts w:ascii="Arial" w:hAnsi="Arial" w:cs="Arial"/>
          <w:sz w:val="22"/>
          <w:szCs w:val="22"/>
        </w:rPr>
      </w:pPr>
      <w:r w:rsidRPr="009E48BD">
        <w:rPr>
          <w:rFonts w:ascii="Arial" w:hAnsi="Arial" w:cs="Arial"/>
          <w:sz w:val="22"/>
          <w:szCs w:val="22"/>
        </w:rPr>
        <w:t xml:space="preserve">Since the endorsement of the </w:t>
      </w:r>
      <w:hyperlink r:id="rId13" w:history="1">
        <w:r w:rsidRPr="009E48BD">
          <w:rPr>
            <w:rStyle w:val="Hyperlink"/>
            <w:rFonts w:ascii="Arial" w:hAnsi="Arial" w:cs="Arial"/>
            <w:i/>
            <w:iCs/>
            <w:sz w:val="22"/>
            <w:szCs w:val="22"/>
          </w:rPr>
          <w:t>IOC Ocean Literacy Action Plan (2018–2021)</w:t>
        </w:r>
      </w:hyperlink>
      <w:r w:rsidRPr="009E48BD">
        <w:rPr>
          <w:rFonts w:ascii="Arial" w:hAnsi="Arial" w:cs="Arial"/>
          <w:sz w:val="22"/>
          <w:szCs w:val="22"/>
        </w:rPr>
        <w:t xml:space="preserve">, efforts focused on ocean </w:t>
      </w:r>
      <w:r>
        <w:rPr>
          <w:rFonts w:ascii="Arial" w:hAnsi="Arial" w:cs="Arial"/>
          <w:sz w:val="22"/>
          <w:szCs w:val="22"/>
        </w:rPr>
        <w:t>L</w:t>
      </w:r>
      <w:r w:rsidRPr="009E48BD">
        <w:rPr>
          <w:rFonts w:ascii="Arial" w:hAnsi="Arial" w:cs="Arial"/>
          <w:sz w:val="22"/>
          <w:szCs w:val="22"/>
        </w:rPr>
        <w:t xml:space="preserve">iteracy have significantly expanded and evolved beyond formal educational contexts to embrace diverse perspectives, progressing broader restoration of society’s relationship with the ocean. This evolution reflects a deeper recognition of the ocean’s critical role across social, cultural, and economic dimensions, underscoring the need for renewed strategies and frameworks. It is also reflected in the UN Decade of Ocean Science for Sustainable Development Vision 2030 white paper on challenge 10: </w:t>
      </w:r>
      <w:hyperlink r:id="rId14" w:history="1">
        <w:r w:rsidRPr="009E48BD">
          <w:rPr>
            <w:rStyle w:val="Hyperlink"/>
            <w:rFonts w:ascii="Arial" w:hAnsi="Arial" w:cs="Arial"/>
            <w:i/>
            <w:iCs/>
            <w:sz w:val="22"/>
            <w:szCs w:val="22"/>
          </w:rPr>
          <w:t>‘Restoring society’s relationship with the ocean’</w:t>
        </w:r>
      </w:hyperlink>
      <w:r w:rsidRPr="009E48BD">
        <w:rPr>
          <w:rFonts w:ascii="Arial" w:hAnsi="Arial" w:cs="Arial"/>
          <w:sz w:val="22"/>
          <w:szCs w:val="22"/>
        </w:rPr>
        <w:t>.</w:t>
      </w:r>
    </w:p>
    <w:p w14:paraId="4A1588B2" w14:textId="5E713F31" w:rsidR="009E48BD" w:rsidRPr="009E48BD" w:rsidRDefault="009E48BD" w:rsidP="009E48BD">
      <w:pPr>
        <w:pStyle w:val="ListParagraph"/>
        <w:numPr>
          <w:ilvl w:val="0"/>
          <w:numId w:val="42"/>
        </w:numPr>
        <w:snapToGrid w:val="0"/>
        <w:spacing w:before="240" w:after="240"/>
        <w:ind w:left="0" w:firstLine="0"/>
        <w:contextualSpacing w:val="0"/>
        <w:rPr>
          <w:rFonts w:ascii="Arial" w:hAnsi="Arial" w:cs="Arial"/>
          <w:sz w:val="22"/>
          <w:szCs w:val="22"/>
        </w:rPr>
      </w:pPr>
      <w:r w:rsidRPr="009E48BD">
        <w:rPr>
          <w:rFonts w:ascii="Arial" w:hAnsi="Arial" w:cs="Arial"/>
          <w:sz w:val="22"/>
          <w:szCs w:val="22"/>
        </w:rPr>
        <w:t>UNESCO-IOC established the Ocean Literacy Group of Experts through IOC Assembly Decision A-31/3.5.4</w:t>
      </w:r>
      <w:r>
        <w:rPr>
          <w:rFonts w:ascii="Arial" w:hAnsi="Arial" w:cs="Arial"/>
          <w:sz w:val="22"/>
          <w:szCs w:val="22"/>
        </w:rPr>
        <w:t xml:space="preserve"> in 2021</w:t>
      </w:r>
      <w:r w:rsidRPr="009E48BD">
        <w:rPr>
          <w:rFonts w:ascii="Arial" w:hAnsi="Arial" w:cs="Arial"/>
          <w:sz w:val="22"/>
          <w:szCs w:val="22"/>
        </w:rPr>
        <w:t xml:space="preserve">. This multi-disciplinary and multi-stakeholder body has been instrumental in guiding the implementation, coordination, and evolution of Ocean Literacy initiatives globally and regionally both under the IOC and more broadly. Their expertise and experience have provided vital insights into effective practices, stakeholder engagement, and innovative approaches to making ocean science accessible and actionable. In this context, the Group has provided technical support in drafting the </w:t>
      </w:r>
      <w:r>
        <w:rPr>
          <w:rFonts w:ascii="Arial" w:hAnsi="Arial" w:cs="Arial"/>
          <w:sz w:val="22"/>
          <w:szCs w:val="22"/>
        </w:rPr>
        <w:t>‘</w:t>
      </w:r>
      <w:r w:rsidRPr="009E48BD">
        <w:rPr>
          <w:rFonts w:ascii="Arial" w:hAnsi="Arial" w:cs="Arial"/>
          <w:sz w:val="22"/>
          <w:szCs w:val="22"/>
        </w:rPr>
        <w:t>IOC Ocean Literacy Plan of Action 2026</w:t>
      </w:r>
      <w:r>
        <w:rPr>
          <w:rFonts w:ascii="Arial" w:hAnsi="Arial" w:cs="Arial"/>
          <w:sz w:val="22"/>
          <w:szCs w:val="22"/>
        </w:rPr>
        <w:t>–</w:t>
      </w:r>
      <w:r w:rsidRPr="009E48BD">
        <w:rPr>
          <w:rFonts w:ascii="Arial" w:hAnsi="Arial" w:cs="Arial"/>
          <w:sz w:val="22"/>
          <w:szCs w:val="22"/>
        </w:rPr>
        <w:t>2030</w:t>
      </w:r>
      <w:r>
        <w:rPr>
          <w:rFonts w:ascii="Arial" w:hAnsi="Arial" w:cs="Arial"/>
          <w:sz w:val="22"/>
          <w:szCs w:val="22"/>
        </w:rPr>
        <w:t>’</w:t>
      </w:r>
      <w:r w:rsidRPr="009E48BD">
        <w:rPr>
          <w:rFonts w:ascii="Arial" w:hAnsi="Arial" w:cs="Arial"/>
          <w:sz w:val="22"/>
          <w:szCs w:val="22"/>
        </w:rPr>
        <w:t>, which is based both on the assessment of the progress achieved with regards to the priorities of the IOC Ocean Literacy Plan of Action 2018</w:t>
      </w:r>
      <w:r>
        <w:rPr>
          <w:rFonts w:ascii="Arial" w:hAnsi="Arial" w:cs="Arial"/>
          <w:sz w:val="22"/>
          <w:szCs w:val="22"/>
        </w:rPr>
        <w:t>–</w:t>
      </w:r>
      <w:r w:rsidRPr="009E48BD">
        <w:rPr>
          <w:rFonts w:ascii="Arial" w:hAnsi="Arial" w:cs="Arial"/>
          <w:sz w:val="22"/>
          <w:szCs w:val="22"/>
        </w:rPr>
        <w:t xml:space="preserve">2021 and the activities developed within the framework of the UN Decade of Ocean Science for Sustainable Development. </w:t>
      </w:r>
    </w:p>
    <w:p w14:paraId="3729E00B" w14:textId="22A39965" w:rsidR="009E48BD" w:rsidRPr="009E48BD" w:rsidRDefault="009E48BD" w:rsidP="009E48BD">
      <w:pPr>
        <w:pStyle w:val="ListParagraph"/>
        <w:numPr>
          <w:ilvl w:val="0"/>
          <w:numId w:val="42"/>
        </w:numPr>
        <w:snapToGrid w:val="0"/>
        <w:spacing w:before="240" w:after="240"/>
        <w:ind w:left="0" w:firstLine="0"/>
        <w:contextualSpacing w:val="0"/>
        <w:rPr>
          <w:rFonts w:ascii="Arial" w:hAnsi="Arial" w:cs="Arial"/>
          <w:sz w:val="22"/>
          <w:szCs w:val="22"/>
        </w:rPr>
      </w:pPr>
      <w:r w:rsidRPr="009E48BD">
        <w:rPr>
          <w:rFonts w:ascii="Arial" w:hAnsi="Arial" w:cs="Arial"/>
          <w:sz w:val="22"/>
          <w:szCs w:val="22"/>
        </w:rPr>
        <w:t>In particular, significant progress has been made in the capacity development of teachers and educators and other professional groups such as private and public sectors, journalists and communication professionals and architects and urban planners. These training courses have been developed and made publicly available in collaboration with the Ocean Teacher Global Academy (OTGA). In addition, multi-stakeholder partnerships have been established, particularly with the private sector and media and information organizations to enhance the outreach and visibility of Ocean Literacy in different contexts and at different levels. This has been achieved through the organization of Ocean Literacy side events within major events related to the ocean such as the European Maritime Days, the World Ocean Summit, the second UN Ocean Conference and the UN Water Conference. Moreover, a global database of Ocean Literacy resources has been developed in different languages and made available through the Ocean Literacy Portal. The collaboration with Ocean Literacy national experts groups and networks has been enhanced also in the context of the Ocean Literacy With All (OLWA) Ocean Decade programme. Collaboration with UNESCO Education and Science Sectors has been promoted through the Intersectoral Programme IP2 on Environmental Education, which aims to promote learning and teaching activities on climate change and the environment in UNESCO designated sites, engage schools and teachers with local communities, and collect and share evidence and policy efforts on climate change education. Lastly, resource mobilization has been reinforced through the establishment of partnerships with different donor types.</w:t>
      </w:r>
    </w:p>
    <w:p w14:paraId="5C84D57E" w14:textId="422C18F2" w:rsidR="009E48BD" w:rsidRPr="009E48BD" w:rsidRDefault="009E48BD" w:rsidP="009E48BD">
      <w:pPr>
        <w:pStyle w:val="ListParagraph"/>
        <w:numPr>
          <w:ilvl w:val="0"/>
          <w:numId w:val="42"/>
        </w:numPr>
        <w:snapToGrid w:val="0"/>
        <w:spacing w:before="240" w:after="240"/>
        <w:ind w:left="0" w:firstLine="0"/>
        <w:contextualSpacing w:val="0"/>
        <w:rPr>
          <w:rFonts w:ascii="Arial" w:hAnsi="Arial" w:cs="Arial"/>
          <w:sz w:val="22"/>
          <w:szCs w:val="22"/>
        </w:rPr>
      </w:pPr>
      <w:r w:rsidRPr="009E48BD">
        <w:rPr>
          <w:rFonts w:ascii="Arial" w:hAnsi="Arial" w:cs="Arial"/>
          <w:sz w:val="22"/>
          <w:szCs w:val="22"/>
        </w:rPr>
        <w:t xml:space="preserve">Aligned with the </w:t>
      </w:r>
      <w:hyperlink r:id="rId15" w:history="1">
        <w:r w:rsidRPr="00694465">
          <w:rPr>
            <w:rStyle w:val="Hyperlink"/>
            <w:rFonts w:ascii="Arial" w:hAnsi="Arial" w:cs="Arial"/>
            <w:i/>
            <w:iCs/>
            <w:sz w:val="22"/>
            <w:szCs w:val="22"/>
          </w:rPr>
          <w:t>IOC Medium-Term Strategy (2022–2029)</w:t>
        </w:r>
      </w:hyperlink>
      <w:r w:rsidRPr="009E48BD">
        <w:rPr>
          <w:rFonts w:ascii="Arial" w:hAnsi="Arial" w:cs="Arial"/>
          <w:sz w:val="22"/>
          <w:szCs w:val="22"/>
        </w:rPr>
        <w:t xml:space="preserve">, the </w:t>
      </w:r>
      <w:r w:rsidR="00694465">
        <w:rPr>
          <w:rFonts w:ascii="Arial" w:hAnsi="Arial" w:cs="Arial"/>
          <w:sz w:val="22"/>
          <w:szCs w:val="22"/>
        </w:rPr>
        <w:t xml:space="preserve">draft Ocean Literacy Plan of Action for </w:t>
      </w:r>
      <w:r w:rsidRPr="009E48BD">
        <w:rPr>
          <w:rFonts w:ascii="Arial" w:hAnsi="Arial" w:cs="Arial"/>
          <w:sz w:val="22"/>
          <w:szCs w:val="22"/>
        </w:rPr>
        <w:t>2026</w:t>
      </w:r>
      <w:r w:rsidR="00694465">
        <w:rPr>
          <w:rFonts w:ascii="Arial" w:hAnsi="Arial" w:cs="Arial"/>
          <w:sz w:val="22"/>
          <w:szCs w:val="22"/>
        </w:rPr>
        <w:t>–</w:t>
      </w:r>
      <w:r w:rsidRPr="009E48BD">
        <w:rPr>
          <w:rFonts w:ascii="Arial" w:hAnsi="Arial" w:cs="Arial"/>
          <w:sz w:val="22"/>
          <w:szCs w:val="22"/>
        </w:rPr>
        <w:t xml:space="preserve">2030 enables Member States to achieve all the High-Level Objectives contained </w:t>
      </w:r>
      <w:r w:rsidR="00694465">
        <w:rPr>
          <w:rFonts w:ascii="Arial" w:hAnsi="Arial" w:cs="Arial"/>
          <w:sz w:val="22"/>
          <w:szCs w:val="22"/>
        </w:rPr>
        <w:t>in</w:t>
      </w:r>
      <w:r w:rsidRPr="009E48BD">
        <w:rPr>
          <w:rFonts w:ascii="Arial" w:hAnsi="Arial" w:cs="Arial"/>
          <w:sz w:val="22"/>
          <w:szCs w:val="22"/>
        </w:rPr>
        <w:t xml:space="preserve"> </w:t>
      </w:r>
      <w:r w:rsidRPr="009E48BD">
        <w:rPr>
          <w:rFonts w:ascii="Arial" w:hAnsi="Arial" w:cs="Arial"/>
          <w:sz w:val="22"/>
          <w:szCs w:val="22"/>
        </w:rPr>
        <w:lastRenderedPageBreak/>
        <w:t>the strategy, increasing understanding of the role of the ocean and the services and providing better connection between science policy and society. The overall objective of th</w:t>
      </w:r>
      <w:r w:rsidR="00694465">
        <w:rPr>
          <w:rFonts w:ascii="Arial" w:hAnsi="Arial" w:cs="Arial"/>
          <w:sz w:val="22"/>
          <w:szCs w:val="22"/>
        </w:rPr>
        <w:t>is</w:t>
      </w:r>
      <w:r w:rsidRPr="009E48BD">
        <w:rPr>
          <w:rFonts w:ascii="Arial" w:hAnsi="Arial" w:cs="Arial"/>
          <w:sz w:val="22"/>
          <w:szCs w:val="22"/>
        </w:rPr>
        <w:t xml:space="preserve"> Plan </w:t>
      </w:r>
      <w:r w:rsidR="00694465">
        <w:rPr>
          <w:rFonts w:ascii="Arial" w:hAnsi="Arial" w:cs="Arial"/>
          <w:sz w:val="22"/>
          <w:szCs w:val="22"/>
        </w:rPr>
        <w:t xml:space="preserve">of </w:t>
      </w:r>
      <w:r w:rsidR="00694465" w:rsidRPr="009E48BD">
        <w:rPr>
          <w:rFonts w:ascii="Arial" w:hAnsi="Arial" w:cs="Arial"/>
          <w:sz w:val="22"/>
          <w:szCs w:val="22"/>
        </w:rPr>
        <w:t>Action</w:t>
      </w:r>
      <w:r w:rsidRPr="009E48BD">
        <w:rPr>
          <w:rFonts w:ascii="Arial" w:hAnsi="Arial" w:cs="Arial"/>
          <w:sz w:val="22"/>
          <w:szCs w:val="22"/>
        </w:rPr>
        <w:t xml:space="preserve"> is to ensure the translation of ocean scientific knowledge into practical applications that facilitate societal support for a sustainable ocean future.</w:t>
      </w:r>
    </w:p>
    <w:p w14:paraId="6EFF3842" w14:textId="0C81E18A" w:rsidR="009E48BD" w:rsidRPr="009E48BD" w:rsidRDefault="009E48BD" w:rsidP="009E48BD">
      <w:pPr>
        <w:pStyle w:val="ListParagraph"/>
        <w:numPr>
          <w:ilvl w:val="0"/>
          <w:numId w:val="42"/>
        </w:numPr>
        <w:snapToGrid w:val="0"/>
        <w:spacing w:before="240" w:after="240"/>
        <w:ind w:left="0" w:firstLine="0"/>
        <w:contextualSpacing w:val="0"/>
        <w:rPr>
          <w:rFonts w:ascii="Arial" w:hAnsi="Arial" w:cs="Arial"/>
          <w:sz w:val="22"/>
          <w:szCs w:val="22"/>
        </w:rPr>
      </w:pPr>
      <w:r w:rsidRPr="009E48BD">
        <w:rPr>
          <w:rFonts w:ascii="Arial" w:hAnsi="Arial" w:cs="Arial"/>
          <w:sz w:val="22"/>
          <w:szCs w:val="22"/>
        </w:rPr>
        <w:t xml:space="preserve">The Action Plan </w:t>
      </w:r>
      <w:r w:rsidR="00694465">
        <w:rPr>
          <w:rFonts w:ascii="Arial" w:hAnsi="Arial" w:cs="Arial"/>
          <w:sz w:val="22"/>
          <w:szCs w:val="22"/>
        </w:rPr>
        <w:t xml:space="preserve">for </w:t>
      </w:r>
      <w:r w:rsidRPr="009E48BD">
        <w:rPr>
          <w:rFonts w:ascii="Arial" w:hAnsi="Arial" w:cs="Arial"/>
          <w:sz w:val="22"/>
          <w:szCs w:val="22"/>
        </w:rPr>
        <w:t>2026</w:t>
      </w:r>
      <w:r w:rsidR="00694465">
        <w:rPr>
          <w:rFonts w:ascii="Arial" w:hAnsi="Arial" w:cs="Arial"/>
          <w:sz w:val="22"/>
          <w:szCs w:val="22"/>
        </w:rPr>
        <w:t>–</w:t>
      </w:r>
      <w:r w:rsidRPr="009E48BD">
        <w:rPr>
          <w:rFonts w:ascii="Arial" w:hAnsi="Arial" w:cs="Arial"/>
          <w:sz w:val="22"/>
          <w:szCs w:val="22"/>
        </w:rPr>
        <w:t xml:space="preserve">2030 </w:t>
      </w:r>
      <w:r w:rsidR="00694465">
        <w:rPr>
          <w:rFonts w:ascii="Arial" w:hAnsi="Arial" w:cs="Arial"/>
          <w:sz w:val="22"/>
          <w:szCs w:val="22"/>
        </w:rPr>
        <w:t>emphasizes</w:t>
      </w:r>
      <w:r w:rsidRPr="009E48BD">
        <w:rPr>
          <w:rFonts w:ascii="Arial" w:hAnsi="Arial" w:cs="Arial"/>
          <w:sz w:val="22"/>
          <w:szCs w:val="22"/>
        </w:rPr>
        <w:t xml:space="preserve"> activities </w:t>
      </w:r>
      <w:r w:rsidR="00694465">
        <w:rPr>
          <w:rFonts w:ascii="Arial" w:hAnsi="Arial" w:cs="Arial"/>
          <w:sz w:val="22"/>
          <w:szCs w:val="22"/>
        </w:rPr>
        <w:t xml:space="preserve">carried out within </w:t>
      </w:r>
      <w:r w:rsidRPr="009E48BD">
        <w:rPr>
          <w:rFonts w:ascii="Arial" w:hAnsi="Arial" w:cs="Arial"/>
          <w:sz w:val="22"/>
          <w:szCs w:val="22"/>
        </w:rPr>
        <w:t xml:space="preserve">formal, informal, and lifelong </w:t>
      </w:r>
      <w:r w:rsidR="00694465" w:rsidRPr="00694465">
        <w:rPr>
          <w:rFonts w:ascii="Arial" w:hAnsi="Arial" w:cs="Arial"/>
          <w:sz w:val="22"/>
          <w:szCs w:val="22"/>
        </w:rPr>
        <w:t xml:space="preserve">learning structures, focusing on education, experience and awareness-raising, in order to strengthen global understanding and management of ocean ecosystems. </w:t>
      </w:r>
      <w:r w:rsidRPr="009E48BD">
        <w:rPr>
          <w:rFonts w:ascii="Arial" w:hAnsi="Arial" w:cs="Arial"/>
          <w:sz w:val="22"/>
          <w:szCs w:val="22"/>
        </w:rPr>
        <w:t xml:space="preserve">Through collaboration with other IOC sections, programmes, and initiatives, such as the Global Ocean Observing System (GOOS), International Oceanographic Data and Information Exchange (IODE), the Ocean Teacher Global Academy and regional IOC sub-commissions, and utilising the Ocean Decade Challenge 10 Decadal Coordination Office, this Action Plan aims to foster a cohesive approach that enhances the collective impact of IOC’s scientific outputs and services. This </w:t>
      </w:r>
      <w:r w:rsidR="003B3CAC">
        <w:rPr>
          <w:rFonts w:ascii="Arial" w:hAnsi="Arial" w:cs="Arial"/>
          <w:sz w:val="22"/>
          <w:szCs w:val="22"/>
        </w:rPr>
        <w:t>means</w:t>
      </w:r>
      <w:r w:rsidRPr="009E48BD">
        <w:rPr>
          <w:rFonts w:ascii="Arial" w:hAnsi="Arial" w:cs="Arial"/>
          <w:sz w:val="22"/>
          <w:szCs w:val="22"/>
        </w:rPr>
        <w:t xml:space="preserve"> recognising </w:t>
      </w:r>
      <w:r w:rsidR="003B3CAC">
        <w:rPr>
          <w:rFonts w:ascii="Arial" w:hAnsi="Arial" w:cs="Arial"/>
          <w:sz w:val="22"/>
          <w:szCs w:val="22"/>
        </w:rPr>
        <w:t xml:space="preserve">the diversity of </w:t>
      </w:r>
      <w:r w:rsidRPr="009E48BD">
        <w:rPr>
          <w:rFonts w:ascii="Arial" w:hAnsi="Arial" w:cs="Arial"/>
          <w:sz w:val="22"/>
          <w:szCs w:val="22"/>
        </w:rPr>
        <w:t>cultural perspectives and traditional ecological knowledge</w:t>
      </w:r>
      <w:r w:rsidR="003B3CAC">
        <w:rPr>
          <w:rFonts w:ascii="Arial" w:hAnsi="Arial" w:cs="Arial"/>
          <w:sz w:val="22"/>
          <w:szCs w:val="22"/>
        </w:rPr>
        <w:t>,</w:t>
      </w:r>
      <w:r w:rsidRPr="009E48BD">
        <w:rPr>
          <w:rFonts w:ascii="Arial" w:hAnsi="Arial" w:cs="Arial"/>
          <w:sz w:val="22"/>
          <w:szCs w:val="22"/>
        </w:rPr>
        <w:t xml:space="preserve"> and acknowledging th</w:t>
      </w:r>
      <w:r w:rsidR="003B3CAC">
        <w:rPr>
          <w:rFonts w:ascii="Arial" w:hAnsi="Arial" w:cs="Arial"/>
          <w:sz w:val="22"/>
          <w:szCs w:val="22"/>
        </w:rPr>
        <w:t>e</w:t>
      </w:r>
      <w:r w:rsidRPr="009E48BD">
        <w:rPr>
          <w:rFonts w:ascii="Arial" w:hAnsi="Arial" w:cs="Arial"/>
          <w:sz w:val="22"/>
          <w:szCs w:val="22"/>
        </w:rPr>
        <w:t xml:space="preserve">se knowledge systems as </w:t>
      </w:r>
      <w:r w:rsidR="003B3CAC">
        <w:rPr>
          <w:rFonts w:ascii="Arial" w:hAnsi="Arial" w:cs="Arial"/>
          <w:sz w:val="22"/>
          <w:szCs w:val="22"/>
        </w:rPr>
        <w:t xml:space="preserve">integral </w:t>
      </w:r>
      <w:r w:rsidRPr="009E48BD">
        <w:rPr>
          <w:rFonts w:ascii="Arial" w:hAnsi="Arial" w:cs="Arial"/>
          <w:sz w:val="22"/>
          <w:szCs w:val="22"/>
        </w:rPr>
        <w:t xml:space="preserve">part of Ocean Literacy programmes and frameworks. This inclusive approach ensures respect </w:t>
      </w:r>
      <w:r w:rsidR="003B3CAC">
        <w:rPr>
          <w:rFonts w:ascii="Arial" w:hAnsi="Arial" w:cs="Arial"/>
          <w:sz w:val="22"/>
          <w:szCs w:val="22"/>
        </w:rPr>
        <w:t xml:space="preserve">for </w:t>
      </w:r>
      <w:r w:rsidRPr="009E48BD">
        <w:rPr>
          <w:rFonts w:ascii="Arial" w:hAnsi="Arial" w:cs="Arial"/>
          <w:sz w:val="22"/>
          <w:szCs w:val="22"/>
        </w:rPr>
        <w:t xml:space="preserve">and support </w:t>
      </w:r>
      <w:r w:rsidR="003B3CAC">
        <w:rPr>
          <w:rFonts w:ascii="Arial" w:hAnsi="Arial" w:cs="Arial"/>
          <w:sz w:val="22"/>
          <w:szCs w:val="22"/>
        </w:rPr>
        <w:t>of</w:t>
      </w:r>
      <w:r w:rsidRPr="009E48BD">
        <w:rPr>
          <w:rFonts w:ascii="Arial" w:hAnsi="Arial" w:cs="Arial"/>
          <w:sz w:val="22"/>
          <w:szCs w:val="22"/>
        </w:rPr>
        <w:t xml:space="preserve"> </w:t>
      </w:r>
      <w:r w:rsidR="00694465">
        <w:rPr>
          <w:rFonts w:ascii="Arial" w:hAnsi="Arial" w:cs="Arial"/>
          <w:sz w:val="22"/>
          <w:szCs w:val="22"/>
        </w:rPr>
        <w:t>i</w:t>
      </w:r>
      <w:r w:rsidRPr="009E48BD">
        <w:rPr>
          <w:rFonts w:ascii="Arial" w:hAnsi="Arial" w:cs="Arial"/>
          <w:sz w:val="22"/>
          <w:szCs w:val="22"/>
        </w:rPr>
        <w:t>ndigenous and local communities</w:t>
      </w:r>
      <w:r w:rsidR="003B3CAC">
        <w:rPr>
          <w:rFonts w:ascii="Arial" w:hAnsi="Arial" w:cs="Arial"/>
          <w:sz w:val="22"/>
          <w:szCs w:val="22"/>
        </w:rPr>
        <w:t>,</w:t>
      </w:r>
      <w:r w:rsidRPr="009E48BD">
        <w:rPr>
          <w:rFonts w:ascii="Arial" w:hAnsi="Arial" w:cs="Arial"/>
          <w:sz w:val="22"/>
          <w:szCs w:val="22"/>
        </w:rPr>
        <w:t xml:space="preserve"> and recognises their role in </w:t>
      </w:r>
      <w:r w:rsidR="003B3CAC">
        <w:rPr>
          <w:rFonts w:ascii="Arial" w:hAnsi="Arial" w:cs="Arial"/>
          <w:sz w:val="22"/>
          <w:szCs w:val="22"/>
        </w:rPr>
        <w:t>improving</w:t>
      </w:r>
      <w:r w:rsidRPr="009E48BD">
        <w:rPr>
          <w:rFonts w:ascii="Arial" w:hAnsi="Arial" w:cs="Arial"/>
          <w:sz w:val="22"/>
          <w:szCs w:val="22"/>
        </w:rPr>
        <w:t xml:space="preserve"> the effectiveness of ocean management and conservation.</w:t>
      </w:r>
    </w:p>
    <w:p w14:paraId="501E34FC" w14:textId="23ED2E64" w:rsidR="009E48BD" w:rsidRPr="009E48BD" w:rsidRDefault="009E48BD" w:rsidP="009E48BD">
      <w:pPr>
        <w:pStyle w:val="ListParagraph"/>
        <w:numPr>
          <w:ilvl w:val="0"/>
          <w:numId w:val="42"/>
        </w:numPr>
        <w:snapToGrid w:val="0"/>
        <w:spacing w:before="240" w:after="240"/>
        <w:ind w:left="0" w:firstLine="0"/>
        <w:contextualSpacing w:val="0"/>
        <w:rPr>
          <w:rFonts w:ascii="Arial" w:hAnsi="Arial" w:cs="Arial"/>
          <w:sz w:val="22"/>
          <w:szCs w:val="22"/>
        </w:rPr>
      </w:pPr>
      <w:r w:rsidRPr="009E48BD">
        <w:rPr>
          <w:rFonts w:ascii="Arial" w:hAnsi="Arial" w:cs="Arial"/>
          <w:sz w:val="22"/>
          <w:szCs w:val="22"/>
        </w:rPr>
        <w:t xml:space="preserve">This update to the IOC Plan of Action recognises the need for sustained stakeholder engagement, the development of accessible and inclusive educational resources based on </w:t>
      </w:r>
      <w:r w:rsidR="003B3CAC" w:rsidRPr="009E48BD">
        <w:rPr>
          <w:rFonts w:ascii="Arial" w:hAnsi="Arial" w:cs="Arial"/>
          <w:sz w:val="22"/>
          <w:szCs w:val="22"/>
        </w:rPr>
        <w:t>behavioural</w:t>
      </w:r>
      <w:r w:rsidRPr="009E48BD">
        <w:rPr>
          <w:rFonts w:ascii="Arial" w:hAnsi="Arial" w:cs="Arial"/>
          <w:sz w:val="22"/>
          <w:szCs w:val="22"/>
        </w:rPr>
        <w:t xml:space="preserve"> science, communication strategies, and impact assessments of Ocean Literacy programmes and activities. The tools, products and outputs from these combined efforts will equip Member States with the tools and capacities </w:t>
      </w:r>
      <w:r w:rsidR="003B3CAC">
        <w:rPr>
          <w:rFonts w:ascii="Arial" w:hAnsi="Arial" w:cs="Arial"/>
          <w:sz w:val="22"/>
          <w:szCs w:val="22"/>
        </w:rPr>
        <w:t xml:space="preserve">needed </w:t>
      </w:r>
      <w:r w:rsidRPr="009E48BD">
        <w:rPr>
          <w:rFonts w:ascii="Arial" w:hAnsi="Arial" w:cs="Arial"/>
          <w:sz w:val="22"/>
          <w:szCs w:val="22"/>
        </w:rPr>
        <w:t>to achieve scientifically informed and sustainable ocean management and</w:t>
      </w:r>
      <w:r w:rsidR="003B3CAC">
        <w:rPr>
          <w:rFonts w:ascii="Arial" w:hAnsi="Arial" w:cs="Arial"/>
          <w:sz w:val="22"/>
          <w:szCs w:val="22"/>
        </w:rPr>
        <w:t>,</w:t>
      </w:r>
      <w:r w:rsidRPr="009E48BD">
        <w:rPr>
          <w:rFonts w:ascii="Arial" w:hAnsi="Arial" w:cs="Arial"/>
          <w:sz w:val="22"/>
          <w:szCs w:val="22"/>
        </w:rPr>
        <w:t xml:space="preserve"> ultimately</w:t>
      </w:r>
      <w:r w:rsidR="003B3CAC">
        <w:rPr>
          <w:rFonts w:ascii="Arial" w:hAnsi="Arial" w:cs="Arial"/>
          <w:sz w:val="22"/>
          <w:szCs w:val="22"/>
        </w:rPr>
        <w:t>,</w:t>
      </w:r>
      <w:r w:rsidRPr="009E48BD">
        <w:rPr>
          <w:rFonts w:ascii="Arial" w:hAnsi="Arial" w:cs="Arial"/>
          <w:sz w:val="22"/>
          <w:szCs w:val="22"/>
        </w:rPr>
        <w:t xml:space="preserve"> contribut</w:t>
      </w:r>
      <w:r w:rsidR="003B3CAC">
        <w:rPr>
          <w:rFonts w:ascii="Arial" w:hAnsi="Arial" w:cs="Arial"/>
          <w:sz w:val="22"/>
          <w:szCs w:val="22"/>
        </w:rPr>
        <w:t>e</w:t>
      </w:r>
      <w:r w:rsidRPr="009E48BD">
        <w:rPr>
          <w:rFonts w:ascii="Arial" w:hAnsi="Arial" w:cs="Arial"/>
          <w:sz w:val="22"/>
          <w:szCs w:val="22"/>
        </w:rPr>
        <w:t xml:space="preserve"> to the vision of the </w:t>
      </w:r>
      <w:r w:rsidR="003B3CAC">
        <w:rPr>
          <w:rFonts w:ascii="Arial" w:hAnsi="Arial" w:cs="Arial"/>
          <w:sz w:val="22"/>
          <w:szCs w:val="22"/>
        </w:rPr>
        <w:t xml:space="preserve">current IOC </w:t>
      </w:r>
      <w:r w:rsidRPr="009E48BD">
        <w:rPr>
          <w:rFonts w:ascii="Arial" w:hAnsi="Arial" w:cs="Arial"/>
          <w:sz w:val="22"/>
          <w:szCs w:val="22"/>
        </w:rPr>
        <w:t>Medium</w:t>
      </w:r>
      <w:r w:rsidR="003B3CAC">
        <w:rPr>
          <w:rFonts w:ascii="Arial" w:hAnsi="Arial" w:cs="Arial"/>
          <w:sz w:val="22"/>
          <w:szCs w:val="22"/>
        </w:rPr>
        <w:t>-</w:t>
      </w:r>
      <w:r w:rsidRPr="009E48BD">
        <w:rPr>
          <w:rFonts w:ascii="Arial" w:hAnsi="Arial" w:cs="Arial"/>
          <w:sz w:val="22"/>
          <w:szCs w:val="22"/>
        </w:rPr>
        <w:t>Term Strategy (2022</w:t>
      </w:r>
      <w:r w:rsidR="003B3CAC">
        <w:rPr>
          <w:rFonts w:ascii="Arial" w:hAnsi="Arial" w:cs="Arial"/>
          <w:sz w:val="22"/>
          <w:szCs w:val="22"/>
        </w:rPr>
        <w:t>–</w:t>
      </w:r>
      <w:r w:rsidRPr="009E48BD">
        <w:rPr>
          <w:rFonts w:ascii="Arial" w:hAnsi="Arial" w:cs="Arial"/>
          <w:sz w:val="22"/>
          <w:szCs w:val="22"/>
        </w:rPr>
        <w:t>2029): bring</w:t>
      </w:r>
      <w:r w:rsidR="003B3CAC">
        <w:rPr>
          <w:rFonts w:ascii="Arial" w:hAnsi="Arial" w:cs="Arial"/>
          <w:sz w:val="22"/>
          <w:szCs w:val="22"/>
        </w:rPr>
        <w:t>ing</w:t>
      </w:r>
      <w:r w:rsidRPr="009E48BD">
        <w:rPr>
          <w:rFonts w:ascii="Arial" w:hAnsi="Arial" w:cs="Arial"/>
          <w:sz w:val="22"/>
          <w:szCs w:val="22"/>
        </w:rPr>
        <w:t xml:space="preserve"> governments and the scien</w:t>
      </w:r>
      <w:r w:rsidR="003B3CAC">
        <w:rPr>
          <w:rFonts w:ascii="Arial" w:hAnsi="Arial" w:cs="Arial"/>
          <w:sz w:val="22"/>
          <w:szCs w:val="22"/>
        </w:rPr>
        <w:t>tific</w:t>
      </w:r>
      <w:r w:rsidRPr="009E48BD">
        <w:rPr>
          <w:rFonts w:ascii="Arial" w:hAnsi="Arial" w:cs="Arial"/>
          <w:sz w:val="22"/>
          <w:szCs w:val="22"/>
        </w:rPr>
        <w:t xml:space="preserve"> community </w:t>
      </w:r>
      <w:r w:rsidR="003B3CAC" w:rsidRPr="009E48BD">
        <w:rPr>
          <w:rFonts w:ascii="Arial" w:hAnsi="Arial" w:cs="Arial"/>
          <w:sz w:val="22"/>
          <w:szCs w:val="22"/>
        </w:rPr>
        <w:t xml:space="preserve">together </w:t>
      </w:r>
      <w:r w:rsidR="003B3CAC">
        <w:rPr>
          <w:rFonts w:ascii="Arial" w:hAnsi="Arial" w:cs="Arial"/>
          <w:sz w:val="22"/>
          <w:szCs w:val="22"/>
        </w:rPr>
        <w:t>to</w:t>
      </w:r>
      <w:r w:rsidRPr="009E48BD">
        <w:rPr>
          <w:rFonts w:ascii="Arial" w:hAnsi="Arial" w:cs="Arial"/>
          <w:sz w:val="22"/>
          <w:szCs w:val="22"/>
        </w:rPr>
        <w:t xml:space="preserve"> achiev</w:t>
      </w:r>
      <w:r w:rsidR="003B3CAC">
        <w:rPr>
          <w:rFonts w:ascii="Arial" w:hAnsi="Arial" w:cs="Arial"/>
          <w:sz w:val="22"/>
          <w:szCs w:val="22"/>
        </w:rPr>
        <w:t>e</w:t>
      </w:r>
      <w:r w:rsidRPr="009E48BD">
        <w:rPr>
          <w:rFonts w:ascii="Arial" w:hAnsi="Arial" w:cs="Arial"/>
          <w:sz w:val="22"/>
          <w:szCs w:val="22"/>
        </w:rPr>
        <w:t xml:space="preserve"> the ‘Ocean We Need for the Future We Want.’</w:t>
      </w:r>
    </w:p>
    <w:p w14:paraId="57C26628" w14:textId="2A78D7BA" w:rsidR="000B7E2A" w:rsidRPr="00595B8A" w:rsidRDefault="009E48BD" w:rsidP="009E48BD">
      <w:pPr>
        <w:pStyle w:val="ListParagraph"/>
        <w:numPr>
          <w:ilvl w:val="0"/>
          <w:numId w:val="42"/>
        </w:numPr>
        <w:snapToGrid w:val="0"/>
        <w:spacing w:before="240" w:after="240"/>
        <w:ind w:left="0" w:firstLine="0"/>
        <w:contextualSpacing w:val="0"/>
        <w:rPr>
          <w:rFonts w:ascii="Arial" w:hAnsi="Arial" w:cs="Arial"/>
          <w:sz w:val="22"/>
          <w:szCs w:val="22"/>
        </w:rPr>
      </w:pPr>
      <w:r w:rsidRPr="009E48BD">
        <w:rPr>
          <w:rFonts w:ascii="Arial" w:hAnsi="Arial" w:cs="Arial"/>
          <w:sz w:val="22"/>
          <w:szCs w:val="22"/>
        </w:rPr>
        <w:t xml:space="preserve">Guided by this vision statement, the Plan of Action </w:t>
      </w:r>
      <w:r w:rsidR="003B3CAC">
        <w:rPr>
          <w:rFonts w:ascii="Arial" w:hAnsi="Arial" w:cs="Arial"/>
          <w:sz w:val="22"/>
          <w:szCs w:val="22"/>
        </w:rPr>
        <w:t>highlights</w:t>
      </w:r>
      <w:r w:rsidRPr="009E48BD">
        <w:rPr>
          <w:rFonts w:ascii="Arial" w:hAnsi="Arial" w:cs="Arial"/>
          <w:sz w:val="22"/>
          <w:szCs w:val="22"/>
        </w:rPr>
        <w:t xml:space="preserve"> the need for international collaboration, the exchange of best practices and the </w:t>
      </w:r>
      <w:r w:rsidR="003B3CAC">
        <w:rPr>
          <w:rFonts w:ascii="Arial" w:hAnsi="Arial" w:cs="Arial"/>
          <w:sz w:val="22"/>
          <w:szCs w:val="22"/>
        </w:rPr>
        <w:t xml:space="preserve">promotion of </w:t>
      </w:r>
      <w:r w:rsidRPr="009E48BD">
        <w:rPr>
          <w:rFonts w:ascii="Arial" w:hAnsi="Arial" w:cs="Arial"/>
          <w:sz w:val="22"/>
          <w:szCs w:val="22"/>
        </w:rPr>
        <w:t xml:space="preserve">robust partnerships, particularly </w:t>
      </w:r>
      <w:r w:rsidR="003B3CAC">
        <w:rPr>
          <w:rFonts w:ascii="Arial" w:hAnsi="Arial" w:cs="Arial"/>
          <w:sz w:val="22"/>
          <w:szCs w:val="22"/>
        </w:rPr>
        <w:t>to</w:t>
      </w:r>
      <w:r w:rsidRPr="009E48BD">
        <w:rPr>
          <w:rFonts w:ascii="Arial" w:hAnsi="Arial" w:cs="Arial"/>
          <w:sz w:val="22"/>
          <w:szCs w:val="22"/>
        </w:rPr>
        <w:t xml:space="preserve"> ensur</w:t>
      </w:r>
      <w:r w:rsidR="003B3CAC">
        <w:rPr>
          <w:rFonts w:ascii="Arial" w:hAnsi="Arial" w:cs="Arial"/>
          <w:sz w:val="22"/>
          <w:szCs w:val="22"/>
        </w:rPr>
        <w:t>e</w:t>
      </w:r>
      <w:r w:rsidRPr="009E48BD">
        <w:rPr>
          <w:rFonts w:ascii="Arial" w:hAnsi="Arial" w:cs="Arial"/>
          <w:sz w:val="22"/>
          <w:szCs w:val="22"/>
        </w:rPr>
        <w:t xml:space="preserve"> ocean knowledge is </w:t>
      </w:r>
      <w:r w:rsidR="003B3CAC">
        <w:rPr>
          <w:rFonts w:ascii="Arial" w:hAnsi="Arial" w:cs="Arial"/>
          <w:sz w:val="22"/>
          <w:szCs w:val="22"/>
        </w:rPr>
        <w:t>fully exploited to advance</w:t>
      </w:r>
      <w:r w:rsidRPr="009E48BD">
        <w:rPr>
          <w:rFonts w:ascii="Arial" w:hAnsi="Arial" w:cs="Arial"/>
          <w:sz w:val="22"/>
          <w:szCs w:val="22"/>
        </w:rPr>
        <w:t xml:space="preserve"> and ultimately achieve long-lasting ocean sustainability.</w:t>
      </w:r>
    </w:p>
    <w:p w14:paraId="1E8E70D0" w14:textId="4C76A5A2" w:rsidR="00137BED" w:rsidRDefault="003B3CAC" w:rsidP="00AA2CD5">
      <w:pPr>
        <w:spacing w:after="240"/>
        <w:jc w:val="both"/>
        <w:rPr>
          <w:b/>
        </w:rPr>
      </w:pPr>
      <w:r>
        <w:rPr>
          <w:b/>
        </w:rPr>
        <w:t>Vision Statement</w:t>
      </w:r>
    </w:p>
    <w:p w14:paraId="27C89890" w14:textId="77777777" w:rsidR="003B3CAC" w:rsidRDefault="003B3CAC" w:rsidP="003B3CAC">
      <w:pPr>
        <w:spacing w:before="240" w:after="240" w:line="276" w:lineRule="auto"/>
        <w:rPr>
          <w:i/>
        </w:rPr>
      </w:pPr>
      <w:r>
        <w:rPr>
          <w:i/>
        </w:rPr>
        <w:t>"Through international collaboration, exchange of best practices, and strengthened partnerships, UNESCO-IOC empowers Member States to enhance Ocean Literacy, translating ocean science into accessible knowledge that drives sustainable action and governance for the ocean we need."</w:t>
      </w:r>
    </w:p>
    <w:p w14:paraId="24C14907" w14:textId="520A8ABB" w:rsidR="003B3CAC" w:rsidRDefault="00C55528" w:rsidP="00C55528">
      <w:pPr>
        <w:pStyle w:val="ListParagraph"/>
        <w:numPr>
          <w:ilvl w:val="0"/>
          <w:numId w:val="42"/>
        </w:numPr>
        <w:snapToGrid w:val="0"/>
        <w:spacing w:before="240" w:after="240"/>
        <w:ind w:left="0" w:firstLine="0"/>
        <w:contextualSpacing w:val="0"/>
        <w:rPr>
          <w:rFonts w:ascii="Arial" w:hAnsi="Arial" w:cs="Arial"/>
          <w:sz w:val="22"/>
          <w:szCs w:val="22"/>
        </w:rPr>
      </w:pPr>
      <w:r w:rsidRPr="00C55528">
        <w:rPr>
          <w:rFonts w:ascii="Arial" w:hAnsi="Arial" w:cs="Arial"/>
          <w:sz w:val="22"/>
          <w:szCs w:val="22"/>
        </w:rPr>
        <w:t xml:space="preserve">The following table presents the enhanced list of priorities, areas of action and activities. Alignment with the </w:t>
      </w:r>
      <w:hyperlink r:id="rId16" w:history="1">
        <w:r w:rsidRPr="00C55528">
          <w:rPr>
            <w:rStyle w:val="Hyperlink"/>
            <w:rFonts w:ascii="Arial" w:hAnsi="Arial" w:cs="Arial"/>
            <w:i/>
            <w:iCs/>
            <w:sz w:val="22"/>
            <w:szCs w:val="22"/>
          </w:rPr>
          <w:t>IOC Capacity Development Strategy, 2023–2030</w:t>
        </w:r>
      </w:hyperlink>
      <w:r w:rsidRPr="00C55528">
        <w:rPr>
          <w:rFonts w:ascii="Arial" w:hAnsi="Arial" w:cs="Arial"/>
          <w:sz w:val="22"/>
          <w:szCs w:val="22"/>
        </w:rPr>
        <w:t xml:space="preserve"> as well as with the </w:t>
      </w:r>
      <w:hyperlink r:id="rId17" w:history="1">
        <w:r w:rsidR="00184B8E" w:rsidRPr="00184B8E">
          <w:rPr>
            <w:rStyle w:val="Hyperlink"/>
            <w:rFonts w:ascii="Arial" w:hAnsi="Arial" w:cs="Arial"/>
            <w:i/>
            <w:iCs/>
            <w:sz w:val="22"/>
            <w:szCs w:val="22"/>
          </w:rPr>
          <w:t>IOC Communication and Outreach Strategy for Data and Information Management</w:t>
        </w:r>
      </w:hyperlink>
      <w:r w:rsidRPr="00C55528">
        <w:rPr>
          <w:rFonts w:ascii="Arial" w:hAnsi="Arial" w:cs="Arial"/>
          <w:sz w:val="22"/>
          <w:szCs w:val="22"/>
        </w:rPr>
        <w:t xml:space="preserve"> will be ensured.</w:t>
      </w:r>
    </w:p>
    <w:p w14:paraId="3FC07FF9" w14:textId="77777777" w:rsidR="00086969" w:rsidRDefault="00086969" w:rsidP="00086969">
      <w:pPr>
        <w:pStyle w:val="Heading3"/>
      </w:pPr>
      <w:r>
        <w:t>Financial and administrative implications</w:t>
      </w:r>
    </w:p>
    <w:p w14:paraId="56FA4919" w14:textId="77777777" w:rsidR="00086969" w:rsidRPr="00086969" w:rsidRDefault="00086969" w:rsidP="00086969">
      <w:pPr>
        <w:pStyle w:val="ListParagraph"/>
        <w:numPr>
          <w:ilvl w:val="0"/>
          <w:numId w:val="42"/>
        </w:numPr>
        <w:snapToGrid w:val="0"/>
        <w:spacing w:before="240" w:after="240"/>
        <w:ind w:left="0" w:firstLine="0"/>
        <w:contextualSpacing w:val="0"/>
        <w:rPr>
          <w:rFonts w:ascii="Arial" w:hAnsi="Arial" w:cs="Arial"/>
          <w:sz w:val="22"/>
          <w:szCs w:val="22"/>
        </w:rPr>
      </w:pPr>
      <w:r w:rsidRPr="00086969">
        <w:rPr>
          <w:rFonts w:ascii="Arial" w:hAnsi="Arial" w:cs="Arial"/>
          <w:sz w:val="22"/>
          <w:szCs w:val="22"/>
        </w:rPr>
        <w:t>Ocean Literacy activities are mainly funded by voluntary contributions, although regular budget funding is to be identified in the framework of the IOC contribution to the Intersectoral Programme 2 (IP2) on Environmental Education.</w:t>
      </w:r>
    </w:p>
    <w:p w14:paraId="075E8B01" w14:textId="77777777" w:rsidR="00C55528" w:rsidRDefault="00C55528">
      <w:r>
        <w:br w:type="page"/>
      </w:r>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075"/>
        <w:gridCol w:w="3030"/>
      </w:tblGrid>
      <w:tr w:rsidR="00C55528" w:rsidRPr="00C55528" w14:paraId="5BB9453E" w14:textId="77777777" w:rsidTr="00C55528">
        <w:trPr>
          <w:tblHeader/>
        </w:trPr>
        <w:tc>
          <w:tcPr>
            <w:tcW w:w="3270" w:type="dxa"/>
            <w:shd w:val="clear" w:color="auto" w:fill="F2F2F2" w:themeFill="background1" w:themeFillShade="F2"/>
            <w:tcMar>
              <w:top w:w="100" w:type="dxa"/>
              <w:left w:w="100" w:type="dxa"/>
              <w:bottom w:w="100" w:type="dxa"/>
              <w:right w:w="100" w:type="dxa"/>
            </w:tcMar>
          </w:tcPr>
          <w:p w14:paraId="1BF0C81E" w14:textId="6556FF14" w:rsidR="00C55528" w:rsidRPr="00C55528" w:rsidRDefault="00C55528" w:rsidP="00980720">
            <w:pPr>
              <w:widowControl w:val="0"/>
              <w:spacing w:after="120"/>
              <w:jc w:val="center"/>
              <w:rPr>
                <w:rFonts w:cs="Arial"/>
                <w:b/>
                <w:szCs w:val="22"/>
              </w:rPr>
            </w:pPr>
            <w:r w:rsidRPr="00C55528">
              <w:rPr>
                <w:rFonts w:cs="Arial"/>
                <w:b/>
                <w:szCs w:val="22"/>
              </w:rPr>
              <w:lastRenderedPageBreak/>
              <w:t>Enhanced Priority</w:t>
            </w:r>
            <w:r w:rsidR="00980720">
              <w:rPr>
                <w:rFonts w:cs="Arial"/>
                <w:b/>
                <w:szCs w:val="22"/>
              </w:rPr>
              <w:t xml:space="preserve"> </w:t>
            </w:r>
            <w:r w:rsidR="00980720">
              <w:rPr>
                <w:rFonts w:cs="Arial"/>
                <w:b/>
                <w:szCs w:val="22"/>
              </w:rPr>
              <w:br/>
            </w:r>
            <w:r w:rsidRPr="00C55528">
              <w:rPr>
                <w:rFonts w:cs="Arial"/>
                <w:b/>
                <w:szCs w:val="22"/>
              </w:rPr>
              <w:t>for Ocean Literacy</w:t>
            </w:r>
          </w:p>
        </w:tc>
        <w:tc>
          <w:tcPr>
            <w:tcW w:w="3075" w:type="dxa"/>
            <w:shd w:val="clear" w:color="auto" w:fill="F2F2F2" w:themeFill="background1" w:themeFillShade="F2"/>
            <w:tcMar>
              <w:top w:w="100" w:type="dxa"/>
              <w:left w:w="100" w:type="dxa"/>
              <w:bottom w:w="100" w:type="dxa"/>
              <w:right w:w="100" w:type="dxa"/>
            </w:tcMar>
          </w:tcPr>
          <w:p w14:paraId="7F39D700" w14:textId="77777777" w:rsidR="00C55528" w:rsidRPr="00C55528" w:rsidRDefault="00C55528" w:rsidP="00C55528">
            <w:pPr>
              <w:widowControl w:val="0"/>
              <w:spacing w:after="120"/>
              <w:jc w:val="center"/>
              <w:rPr>
                <w:rFonts w:cs="Arial"/>
                <w:b/>
                <w:szCs w:val="22"/>
              </w:rPr>
            </w:pPr>
            <w:r w:rsidRPr="00C55528">
              <w:rPr>
                <w:rFonts w:cs="Arial"/>
                <w:b/>
                <w:szCs w:val="22"/>
              </w:rPr>
              <w:t>Area of Action</w:t>
            </w:r>
          </w:p>
        </w:tc>
        <w:tc>
          <w:tcPr>
            <w:tcW w:w="3030" w:type="dxa"/>
            <w:shd w:val="clear" w:color="auto" w:fill="F2F2F2" w:themeFill="background1" w:themeFillShade="F2"/>
            <w:tcMar>
              <w:top w:w="100" w:type="dxa"/>
              <w:left w:w="100" w:type="dxa"/>
              <w:bottom w:w="100" w:type="dxa"/>
              <w:right w:w="100" w:type="dxa"/>
            </w:tcMar>
          </w:tcPr>
          <w:p w14:paraId="68FA0C5D" w14:textId="77777777" w:rsidR="00C55528" w:rsidRPr="00C55528" w:rsidRDefault="00C55528" w:rsidP="00C55528">
            <w:pPr>
              <w:widowControl w:val="0"/>
              <w:spacing w:after="120"/>
              <w:jc w:val="center"/>
              <w:rPr>
                <w:rFonts w:cs="Arial"/>
                <w:b/>
                <w:szCs w:val="22"/>
              </w:rPr>
            </w:pPr>
            <w:r w:rsidRPr="00C55528">
              <w:rPr>
                <w:rFonts w:cs="Arial"/>
                <w:b/>
                <w:szCs w:val="22"/>
              </w:rPr>
              <w:t>Activity</w:t>
            </w:r>
          </w:p>
        </w:tc>
      </w:tr>
      <w:tr w:rsidR="004D4543" w:rsidRPr="00C55528" w14:paraId="65124EA4" w14:textId="77777777" w:rsidTr="00086969">
        <w:trPr>
          <w:trHeight w:val="4976"/>
        </w:trPr>
        <w:tc>
          <w:tcPr>
            <w:tcW w:w="3270" w:type="dxa"/>
            <w:vMerge w:val="restart"/>
            <w:shd w:val="clear" w:color="auto" w:fill="auto"/>
            <w:tcMar>
              <w:top w:w="100" w:type="dxa"/>
              <w:left w:w="100" w:type="dxa"/>
              <w:bottom w:w="100" w:type="dxa"/>
              <w:right w:w="100" w:type="dxa"/>
            </w:tcMar>
          </w:tcPr>
          <w:p w14:paraId="6DA24638" w14:textId="77777777" w:rsidR="004D4543" w:rsidRPr="00C55528" w:rsidRDefault="004D4543" w:rsidP="00C55528">
            <w:pPr>
              <w:widowControl w:val="0"/>
              <w:spacing w:after="120"/>
              <w:rPr>
                <w:rFonts w:cs="Arial"/>
                <w:szCs w:val="22"/>
              </w:rPr>
            </w:pPr>
            <w:r w:rsidRPr="00C55528">
              <w:rPr>
                <w:rFonts w:cs="Arial"/>
                <w:b/>
                <w:szCs w:val="22"/>
                <w:highlight w:val="white"/>
              </w:rPr>
              <w:t xml:space="preserve">1. </w:t>
            </w:r>
            <w:r w:rsidRPr="00C55528">
              <w:rPr>
                <w:rFonts w:cs="Arial"/>
                <w:b/>
                <w:szCs w:val="22"/>
              </w:rPr>
              <w:t>Ocean science concepts integrated into the curriculum of education systems in order to enhance global ocean literacy</w:t>
            </w:r>
          </w:p>
        </w:tc>
        <w:tc>
          <w:tcPr>
            <w:tcW w:w="3075" w:type="dxa"/>
            <w:shd w:val="clear" w:color="auto" w:fill="auto"/>
            <w:tcMar>
              <w:top w:w="100" w:type="dxa"/>
              <w:left w:w="100" w:type="dxa"/>
              <w:bottom w:w="100" w:type="dxa"/>
              <w:right w:w="100" w:type="dxa"/>
            </w:tcMar>
          </w:tcPr>
          <w:p w14:paraId="71C54BE8" w14:textId="6067193D" w:rsidR="004D4543" w:rsidRPr="00C55528" w:rsidRDefault="004D4543" w:rsidP="00C55528">
            <w:pPr>
              <w:widowControl w:val="0"/>
              <w:rPr>
                <w:rFonts w:cs="Arial"/>
                <w:szCs w:val="22"/>
                <w:highlight w:val="white"/>
              </w:rPr>
            </w:pPr>
            <w:r w:rsidRPr="00C55528">
              <w:rPr>
                <w:rFonts w:cs="Arial"/>
                <w:szCs w:val="22"/>
                <w:highlight w:val="white"/>
              </w:rPr>
              <w:t>1.1 Formal, informal, non-formal, and lifelong learning curricula at all educational levels</w:t>
            </w:r>
          </w:p>
        </w:tc>
        <w:tc>
          <w:tcPr>
            <w:tcW w:w="3030" w:type="dxa"/>
            <w:shd w:val="clear" w:color="auto" w:fill="auto"/>
            <w:tcMar>
              <w:top w:w="100" w:type="dxa"/>
              <w:left w:w="100" w:type="dxa"/>
              <w:bottom w:w="100" w:type="dxa"/>
              <w:right w:w="100" w:type="dxa"/>
            </w:tcMar>
          </w:tcPr>
          <w:p w14:paraId="38FDFE8A" w14:textId="77777777" w:rsidR="004D4543" w:rsidRDefault="004D4543" w:rsidP="00C55528">
            <w:pPr>
              <w:widowControl w:val="0"/>
              <w:spacing w:after="120"/>
              <w:rPr>
                <w:rFonts w:cs="Arial"/>
                <w:szCs w:val="22"/>
              </w:rPr>
            </w:pPr>
            <w:r w:rsidRPr="00C55528">
              <w:rPr>
                <w:rFonts w:cs="Arial"/>
                <w:szCs w:val="22"/>
                <w:highlight w:val="white"/>
              </w:rPr>
              <w:t xml:space="preserve">1.1.1 </w:t>
            </w:r>
            <w:r w:rsidRPr="00C55528">
              <w:rPr>
                <w:rFonts w:cs="Arial"/>
                <w:szCs w:val="22"/>
              </w:rPr>
              <w:t xml:space="preserve">Promote membership of schools amongst Member States in the Blue Schools network to facilitate exchange of good practices between countries and the implementation of ocean-based curricula aligned with national strategies. </w:t>
            </w:r>
          </w:p>
          <w:p w14:paraId="031AC655" w14:textId="77777777" w:rsidR="004D4543" w:rsidRPr="00C55528" w:rsidRDefault="004D4543" w:rsidP="00C55528">
            <w:pPr>
              <w:widowControl w:val="0"/>
              <w:spacing w:after="120"/>
              <w:rPr>
                <w:rFonts w:cs="Arial"/>
                <w:szCs w:val="22"/>
                <w:highlight w:val="white"/>
              </w:rPr>
            </w:pPr>
            <w:r w:rsidRPr="00C55528">
              <w:rPr>
                <w:rFonts w:cs="Arial"/>
                <w:szCs w:val="22"/>
                <w:highlight w:val="white"/>
              </w:rPr>
              <w:t xml:space="preserve">1.1.2 </w:t>
            </w:r>
            <w:r w:rsidRPr="00C55528">
              <w:rPr>
                <w:rFonts w:cs="Arial"/>
                <w:szCs w:val="22"/>
              </w:rPr>
              <w:t>Promote the development of region-specific educational materials that reflect local marine systems, challenges, and cultural connections to the ocean</w:t>
            </w:r>
          </w:p>
          <w:p w14:paraId="7670EBC8" w14:textId="6207E7E8" w:rsidR="004D4543" w:rsidRPr="00C55528" w:rsidRDefault="004D4543" w:rsidP="00086969">
            <w:pPr>
              <w:widowControl w:val="0"/>
              <w:rPr>
                <w:rFonts w:cs="Arial"/>
                <w:szCs w:val="22"/>
                <w:highlight w:val="yellow"/>
              </w:rPr>
            </w:pPr>
            <w:r w:rsidRPr="00C55528">
              <w:rPr>
                <w:rFonts w:cs="Arial"/>
                <w:szCs w:val="22"/>
                <w:highlight w:val="white"/>
              </w:rPr>
              <w:t>1.1.3 Enhance capacity development among teachers and educators.</w:t>
            </w:r>
          </w:p>
        </w:tc>
      </w:tr>
      <w:tr w:rsidR="004D4543" w:rsidRPr="00C55528" w14:paraId="6212EC5A" w14:textId="77777777" w:rsidTr="00387911">
        <w:trPr>
          <w:trHeight w:val="2540"/>
        </w:trPr>
        <w:tc>
          <w:tcPr>
            <w:tcW w:w="3270" w:type="dxa"/>
            <w:vMerge/>
            <w:shd w:val="clear" w:color="auto" w:fill="auto"/>
            <w:tcMar>
              <w:top w:w="100" w:type="dxa"/>
              <w:left w:w="100" w:type="dxa"/>
              <w:bottom w:w="100" w:type="dxa"/>
              <w:right w:w="100" w:type="dxa"/>
            </w:tcMar>
          </w:tcPr>
          <w:p w14:paraId="101E2268"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6F1AAC65" w14:textId="77777777" w:rsidR="004D4543" w:rsidRPr="00C55528" w:rsidRDefault="004D4543" w:rsidP="004D4543">
            <w:pPr>
              <w:widowControl w:val="0"/>
              <w:rPr>
                <w:rFonts w:cs="Arial"/>
                <w:szCs w:val="22"/>
                <w:highlight w:val="white"/>
              </w:rPr>
            </w:pPr>
            <w:r w:rsidRPr="00C55528">
              <w:rPr>
                <w:rFonts w:cs="Arial"/>
                <w:szCs w:val="22"/>
                <w:highlight w:val="white"/>
              </w:rPr>
              <w:t>1.2 Inter and trans-disciplinary collaboration</w:t>
            </w:r>
          </w:p>
        </w:tc>
        <w:tc>
          <w:tcPr>
            <w:tcW w:w="3030" w:type="dxa"/>
            <w:shd w:val="clear" w:color="auto" w:fill="auto"/>
            <w:tcMar>
              <w:top w:w="100" w:type="dxa"/>
              <w:left w:w="100" w:type="dxa"/>
              <w:bottom w:w="100" w:type="dxa"/>
              <w:right w:w="100" w:type="dxa"/>
            </w:tcMar>
          </w:tcPr>
          <w:p w14:paraId="1FC4F56C"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1.2.1 Strengthen partnerships and collaborations with other UNESCO sectors working across different disciplines</w:t>
            </w:r>
          </w:p>
          <w:p w14:paraId="6D549CDE"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1.2.2 Promote the value of multiple disciplines such as the arts and social sciences in ocean science education</w:t>
            </w:r>
          </w:p>
        </w:tc>
      </w:tr>
      <w:tr w:rsidR="00C55528" w:rsidRPr="00C55528" w14:paraId="59169C9F" w14:textId="77777777" w:rsidTr="00387911">
        <w:tc>
          <w:tcPr>
            <w:tcW w:w="3270" w:type="dxa"/>
            <w:shd w:val="clear" w:color="auto" w:fill="auto"/>
            <w:tcMar>
              <w:top w:w="100" w:type="dxa"/>
              <w:left w:w="100" w:type="dxa"/>
              <w:bottom w:w="100" w:type="dxa"/>
              <w:right w:w="100" w:type="dxa"/>
            </w:tcMar>
          </w:tcPr>
          <w:p w14:paraId="0A5FD481" w14:textId="77777777" w:rsidR="00C55528" w:rsidRPr="00C55528" w:rsidRDefault="00C55528" w:rsidP="00C55528">
            <w:pPr>
              <w:widowControl w:val="0"/>
              <w:spacing w:after="120"/>
              <w:rPr>
                <w:rFonts w:cs="Arial"/>
                <w:b/>
                <w:szCs w:val="22"/>
                <w:highlight w:val="white"/>
              </w:rPr>
            </w:pPr>
            <w:r w:rsidRPr="00C55528">
              <w:rPr>
                <w:rFonts w:cs="Arial"/>
                <w:b/>
                <w:szCs w:val="22"/>
                <w:highlight w:val="white"/>
              </w:rPr>
              <w:t xml:space="preserve">2. </w:t>
            </w:r>
            <w:r w:rsidRPr="00C55528">
              <w:rPr>
                <w:rFonts w:cs="Arial"/>
                <w:b/>
                <w:szCs w:val="22"/>
              </w:rPr>
              <w:t xml:space="preserve">Dialogue enhanced and collaboration increased through the inclusion of diverse stakeholders in ocean literacy discussions </w:t>
            </w:r>
          </w:p>
          <w:p w14:paraId="1968140F" w14:textId="77777777" w:rsidR="00C55528" w:rsidRPr="00C55528" w:rsidRDefault="00C55528" w:rsidP="00C55528">
            <w:pPr>
              <w:widowControl w:val="0"/>
              <w:spacing w:after="120"/>
              <w:rPr>
                <w:rFonts w:cs="Arial"/>
                <w:szCs w:val="22"/>
              </w:rPr>
            </w:pPr>
          </w:p>
        </w:tc>
        <w:tc>
          <w:tcPr>
            <w:tcW w:w="3075" w:type="dxa"/>
            <w:shd w:val="clear" w:color="auto" w:fill="auto"/>
            <w:tcMar>
              <w:top w:w="100" w:type="dxa"/>
              <w:left w:w="100" w:type="dxa"/>
              <w:bottom w:w="100" w:type="dxa"/>
              <w:right w:w="100" w:type="dxa"/>
            </w:tcMar>
          </w:tcPr>
          <w:p w14:paraId="48D649F5" w14:textId="77777777" w:rsidR="00C55528" w:rsidRPr="00C55528" w:rsidRDefault="00C55528" w:rsidP="00C55528">
            <w:pPr>
              <w:widowControl w:val="0"/>
              <w:spacing w:after="120"/>
              <w:rPr>
                <w:rFonts w:cs="Arial"/>
                <w:szCs w:val="22"/>
                <w:highlight w:val="white"/>
              </w:rPr>
            </w:pPr>
            <w:r w:rsidRPr="00C55528">
              <w:rPr>
                <w:rFonts w:cs="Arial"/>
                <w:szCs w:val="22"/>
                <w:highlight w:val="white"/>
              </w:rPr>
              <w:t>2.1 Inclusive and Multidisciplinary Stakeholder Engagement</w:t>
            </w:r>
          </w:p>
        </w:tc>
        <w:tc>
          <w:tcPr>
            <w:tcW w:w="3030" w:type="dxa"/>
            <w:shd w:val="clear" w:color="auto" w:fill="auto"/>
            <w:tcMar>
              <w:top w:w="100" w:type="dxa"/>
              <w:left w:w="100" w:type="dxa"/>
              <w:bottom w:w="100" w:type="dxa"/>
              <w:right w:w="100" w:type="dxa"/>
            </w:tcMar>
          </w:tcPr>
          <w:p w14:paraId="5FE012EB" w14:textId="77777777" w:rsidR="00C55528" w:rsidRPr="00C55528" w:rsidRDefault="00C55528" w:rsidP="00C55528">
            <w:pPr>
              <w:widowControl w:val="0"/>
              <w:spacing w:after="120"/>
              <w:rPr>
                <w:rFonts w:cs="Arial"/>
                <w:szCs w:val="22"/>
                <w:highlight w:val="white"/>
              </w:rPr>
            </w:pPr>
            <w:r w:rsidRPr="00C55528">
              <w:rPr>
                <w:rFonts w:cs="Arial"/>
                <w:szCs w:val="22"/>
                <w:highlight w:val="white"/>
              </w:rPr>
              <w:t>2.1.1 Establishment of regional and global platforms and networks for cross-sectoral exchange and co-development of ocean literacy initiatives</w:t>
            </w:r>
          </w:p>
          <w:p w14:paraId="3242B62F" w14:textId="77777777" w:rsidR="00C55528" w:rsidRPr="00C55528" w:rsidRDefault="00C55528" w:rsidP="00C55528">
            <w:pPr>
              <w:widowControl w:val="0"/>
              <w:spacing w:after="120"/>
              <w:rPr>
                <w:rFonts w:cs="Arial"/>
                <w:szCs w:val="22"/>
                <w:highlight w:val="white"/>
              </w:rPr>
            </w:pPr>
            <w:r w:rsidRPr="00C55528">
              <w:rPr>
                <w:rFonts w:cs="Arial"/>
                <w:szCs w:val="22"/>
                <w:highlight w:val="white"/>
              </w:rPr>
              <w:t xml:space="preserve">2.1.2 </w:t>
            </w:r>
            <w:r w:rsidRPr="00C55528">
              <w:rPr>
                <w:rFonts w:cs="Arial"/>
                <w:szCs w:val="22"/>
              </w:rPr>
              <w:t>Enhance collaboration with IOC Regional Subcommissions to support regional coordination of ocean literacy activities and sharing of knowledge and resources</w:t>
            </w:r>
          </w:p>
          <w:p w14:paraId="445409BB" w14:textId="59FC495D" w:rsidR="00C55528" w:rsidRPr="00C55528" w:rsidRDefault="00C55528" w:rsidP="00C55528">
            <w:pPr>
              <w:widowControl w:val="0"/>
              <w:spacing w:after="120"/>
              <w:rPr>
                <w:rFonts w:cs="Arial"/>
                <w:szCs w:val="22"/>
                <w:highlight w:val="white"/>
              </w:rPr>
            </w:pPr>
            <w:r w:rsidRPr="00C55528">
              <w:rPr>
                <w:rFonts w:cs="Arial"/>
                <w:szCs w:val="22"/>
                <w:highlight w:val="white"/>
              </w:rPr>
              <w:t>2.1.3 Take advantage of major ocean-related online and offline events to amplify the reach of O</w:t>
            </w:r>
            <w:r w:rsidR="00086969">
              <w:rPr>
                <w:rFonts w:cs="Arial"/>
                <w:szCs w:val="22"/>
                <w:highlight w:val="white"/>
              </w:rPr>
              <w:t xml:space="preserve">cean </w:t>
            </w:r>
            <w:r w:rsidRPr="00C55528">
              <w:rPr>
                <w:rFonts w:cs="Arial"/>
                <w:szCs w:val="22"/>
                <w:highlight w:val="white"/>
              </w:rPr>
              <w:t>L</w:t>
            </w:r>
            <w:r w:rsidR="00086969">
              <w:rPr>
                <w:rFonts w:cs="Arial"/>
                <w:szCs w:val="22"/>
                <w:highlight w:val="white"/>
              </w:rPr>
              <w:t>iteracy</w:t>
            </w:r>
            <w:r w:rsidRPr="00C55528">
              <w:rPr>
                <w:rFonts w:cs="Arial"/>
                <w:szCs w:val="22"/>
                <w:highlight w:val="white"/>
              </w:rPr>
              <w:t xml:space="preserve"> to potential new stakeholders</w:t>
            </w:r>
          </w:p>
          <w:p w14:paraId="670630E9" w14:textId="77777777" w:rsidR="00C55528" w:rsidRPr="00C55528" w:rsidRDefault="00C55528" w:rsidP="00C55528">
            <w:pPr>
              <w:widowControl w:val="0"/>
              <w:spacing w:after="120"/>
              <w:rPr>
                <w:rFonts w:cs="Arial"/>
                <w:szCs w:val="22"/>
                <w:highlight w:val="white"/>
              </w:rPr>
            </w:pPr>
            <w:r w:rsidRPr="00C55528">
              <w:rPr>
                <w:rFonts w:cs="Arial"/>
                <w:szCs w:val="22"/>
                <w:highlight w:val="white"/>
              </w:rPr>
              <w:lastRenderedPageBreak/>
              <w:t xml:space="preserve">2.1.4 </w:t>
            </w:r>
            <w:r w:rsidRPr="00C55528">
              <w:rPr>
                <w:rFonts w:cs="Arial"/>
                <w:szCs w:val="22"/>
              </w:rPr>
              <w:t xml:space="preserve">Co-design and co-deliver ocean literacy opportunities with diverse actors and stakeholders </w:t>
            </w:r>
          </w:p>
          <w:p w14:paraId="738F3CA6" w14:textId="77777777" w:rsidR="00C55528" w:rsidRPr="00C55528" w:rsidRDefault="00C55528" w:rsidP="00C55528">
            <w:pPr>
              <w:widowControl w:val="0"/>
              <w:spacing w:after="120"/>
              <w:rPr>
                <w:rFonts w:cs="Arial"/>
                <w:szCs w:val="22"/>
                <w:highlight w:val="white"/>
              </w:rPr>
            </w:pPr>
            <w:r w:rsidRPr="00C55528">
              <w:rPr>
                <w:rFonts w:cs="Arial"/>
                <w:szCs w:val="22"/>
                <w:highlight w:val="white"/>
              </w:rPr>
              <w:t xml:space="preserve">2.1.5 Provide a digital space for continuous stakeholder dialogue </w:t>
            </w:r>
          </w:p>
        </w:tc>
      </w:tr>
      <w:tr w:rsidR="004D4543" w:rsidRPr="00C55528" w14:paraId="64CE77CF" w14:textId="77777777" w:rsidTr="00086969">
        <w:trPr>
          <w:trHeight w:val="781"/>
        </w:trPr>
        <w:tc>
          <w:tcPr>
            <w:tcW w:w="3270" w:type="dxa"/>
            <w:vMerge w:val="restart"/>
            <w:shd w:val="clear" w:color="auto" w:fill="auto"/>
            <w:tcMar>
              <w:top w:w="100" w:type="dxa"/>
              <w:left w:w="100" w:type="dxa"/>
              <w:bottom w:w="100" w:type="dxa"/>
              <w:right w:w="100" w:type="dxa"/>
            </w:tcMar>
          </w:tcPr>
          <w:p w14:paraId="53836464" w14:textId="77777777" w:rsidR="004D4543" w:rsidRPr="00C55528" w:rsidRDefault="004D4543" w:rsidP="00C55528">
            <w:pPr>
              <w:widowControl w:val="0"/>
              <w:spacing w:after="120"/>
              <w:rPr>
                <w:rFonts w:cs="Arial"/>
                <w:b/>
                <w:szCs w:val="22"/>
                <w:highlight w:val="white"/>
              </w:rPr>
            </w:pPr>
            <w:r w:rsidRPr="00C55528">
              <w:rPr>
                <w:rFonts w:cs="Arial"/>
                <w:b/>
                <w:szCs w:val="22"/>
                <w:highlight w:val="white"/>
              </w:rPr>
              <w:lastRenderedPageBreak/>
              <w:t>3. Accessible and Inclusive Ocean Literacy Resources made available</w:t>
            </w:r>
          </w:p>
        </w:tc>
        <w:tc>
          <w:tcPr>
            <w:tcW w:w="3075" w:type="dxa"/>
            <w:shd w:val="clear" w:color="auto" w:fill="auto"/>
            <w:tcMar>
              <w:top w:w="100" w:type="dxa"/>
              <w:left w:w="100" w:type="dxa"/>
              <w:bottom w:w="100" w:type="dxa"/>
              <w:right w:w="100" w:type="dxa"/>
            </w:tcMar>
          </w:tcPr>
          <w:p w14:paraId="029968E3" w14:textId="34E00D11" w:rsidR="004D4543" w:rsidRPr="004D4543" w:rsidRDefault="004D4543" w:rsidP="00C55528">
            <w:pPr>
              <w:widowControl w:val="0"/>
              <w:spacing w:after="120"/>
              <w:rPr>
                <w:rFonts w:cs="Arial"/>
                <w:szCs w:val="22"/>
                <w:highlight w:val="white"/>
              </w:rPr>
            </w:pPr>
            <w:r w:rsidRPr="00C55528">
              <w:rPr>
                <w:rFonts w:cs="Arial"/>
                <w:szCs w:val="22"/>
                <w:highlight w:val="white"/>
              </w:rPr>
              <w:t>3.1 Assessment of existing O</w:t>
            </w:r>
            <w:r>
              <w:rPr>
                <w:rFonts w:cs="Arial"/>
                <w:szCs w:val="22"/>
                <w:highlight w:val="white"/>
              </w:rPr>
              <w:t xml:space="preserve">cean </w:t>
            </w:r>
            <w:r w:rsidRPr="00C55528">
              <w:rPr>
                <w:rFonts w:cs="Arial"/>
                <w:szCs w:val="22"/>
                <w:highlight w:val="white"/>
              </w:rPr>
              <w:t>L</w:t>
            </w:r>
            <w:r>
              <w:rPr>
                <w:rFonts w:cs="Arial"/>
                <w:szCs w:val="22"/>
                <w:highlight w:val="white"/>
              </w:rPr>
              <w:t>iteracy</w:t>
            </w:r>
            <w:r w:rsidRPr="00C55528">
              <w:rPr>
                <w:rFonts w:cs="Arial"/>
                <w:szCs w:val="22"/>
                <w:highlight w:val="white"/>
              </w:rPr>
              <w:t xml:space="preserve"> materials globally</w:t>
            </w:r>
          </w:p>
        </w:tc>
        <w:tc>
          <w:tcPr>
            <w:tcW w:w="3030" w:type="dxa"/>
            <w:shd w:val="clear" w:color="auto" w:fill="auto"/>
            <w:tcMar>
              <w:top w:w="100" w:type="dxa"/>
              <w:left w:w="100" w:type="dxa"/>
              <w:bottom w:w="100" w:type="dxa"/>
              <w:right w:w="100" w:type="dxa"/>
            </w:tcMar>
          </w:tcPr>
          <w:p w14:paraId="4EE29081" w14:textId="66EE7C21" w:rsidR="004D4543" w:rsidRPr="00C55528" w:rsidRDefault="004D4543" w:rsidP="00086969">
            <w:pPr>
              <w:widowControl w:val="0"/>
              <w:rPr>
                <w:rFonts w:cs="Arial"/>
                <w:szCs w:val="22"/>
                <w:highlight w:val="white"/>
              </w:rPr>
            </w:pPr>
            <w:r w:rsidRPr="00C55528">
              <w:rPr>
                <w:rFonts w:cs="Arial"/>
                <w:szCs w:val="22"/>
                <w:highlight w:val="white"/>
              </w:rPr>
              <w:t xml:space="preserve">3.1.1 </w:t>
            </w:r>
            <w:r w:rsidRPr="00C55528">
              <w:rPr>
                <w:rFonts w:cs="Arial"/>
                <w:szCs w:val="22"/>
              </w:rPr>
              <w:t>Compile and evaluate a global compendium of Ocean Literacy resources</w:t>
            </w:r>
            <w:r w:rsidRPr="00C55528">
              <w:rPr>
                <w:rFonts w:cs="Arial"/>
                <w:b/>
                <w:szCs w:val="22"/>
              </w:rPr>
              <w:t xml:space="preserve"> </w:t>
            </w:r>
          </w:p>
        </w:tc>
      </w:tr>
      <w:tr w:rsidR="004D4543" w:rsidRPr="00C55528" w14:paraId="45BACE90" w14:textId="77777777" w:rsidTr="00086969">
        <w:trPr>
          <w:trHeight w:val="1764"/>
        </w:trPr>
        <w:tc>
          <w:tcPr>
            <w:tcW w:w="3270" w:type="dxa"/>
            <w:vMerge/>
            <w:shd w:val="clear" w:color="auto" w:fill="auto"/>
            <w:tcMar>
              <w:top w:w="100" w:type="dxa"/>
              <w:left w:w="100" w:type="dxa"/>
              <w:bottom w:w="100" w:type="dxa"/>
              <w:right w:w="100" w:type="dxa"/>
            </w:tcMar>
          </w:tcPr>
          <w:p w14:paraId="3BF60F42"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69B42DAB" w14:textId="59BCAC6F" w:rsidR="004D4543" w:rsidRPr="00086969" w:rsidRDefault="004D4543" w:rsidP="004D4543">
            <w:pPr>
              <w:widowControl w:val="0"/>
              <w:spacing w:after="120"/>
              <w:rPr>
                <w:rFonts w:cs="Arial"/>
                <w:szCs w:val="22"/>
              </w:rPr>
            </w:pPr>
            <w:r w:rsidRPr="00C55528">
              <w:rPr>
                <w:rFonts w:cs="Arial"/>
                <w:szCs w:val="22"/>
                <w:highlight w:val="white"/>
              </w:rPr>
              <w:t xml:space="preserve">3.2 </w:t>
            </w:r>
            <w:r w:rsidRPr="00C55528">
              <w:rPr>
                <w:rFonts w:cs="Arial"/>
                <w:szCs w:val="22"/>
              </w:rPr>
              <w:t>Development of inclusive and accessible Ocean Literacy resources</w:t>
            </w:r>
          </w:p>
        </w:tc>
        <w:tc>
          <w:tcPr>
            <w:tcW w:w="3030" w:type="dxa"/>
            <w:shd w:val="clear" w:color="auto" w:fill="auto"/>
            <w:tcMar>
              <w:top w:w="100" w:type="dxa"/>
              <w:left w:w="100" w:type="dxa"/>
              <w:bottom w:w="100" w:type="dxa"/>
              <w:right w:w="100" w:type="dxa"/>
            </w:tcMar>
          </w:tcPr>
          <w:p w14:paraId="4048D908" w14:textId="33218D96" w:rsidR="004D4543" w:rsidRPr="00C55528" w:rsidRDefault="004D4543" w:rsidP="00086969">
            <w:pPr>
              <w:widowControl w:val="0"/>
              <w:rPr>
                <w:rFonts w:cs="Arial"/>
                <w:szCs w:val="22"/>
                <w:highlight w:val="white"/>
              </w:rPr>
            </w:pPr>
            <w:r w:rsidRPr="00C55528">
              <w:rPr>
                <w:rFonts w:cs="Arial"/>
                <w:szCs w:val="22"/>
                <w:highlight w:val="white"/>
              </w:rPr>
              <w:t xml:space="preserve">3.2.1 </w:t>
            </w:r>
            <w:r w:rsidRPr="00C55528">
              <w:rPr>
                <w:rFonts w:cs="Arial"/>
                <w:szCs w:val="22"/>
              </w:rPr>
              <w:t>Produce ocean literacy resources that take into account different cultural approaches and different target groups, including disadvantaged or under-represented groups</w:t>
            </w:r>
          </w:p>
        </w:tc>
      </w:tr>
      <w:tr w:rsidR="004D4543" w:rsidRPr="00C55528" w14:paraId="1A06BF05" w14:textId="77777777" w:rsidTr="00387911">
        <w:trPr>
          <w:trHeight w:val="3550"/>
        </w:trPr>
        <w:tc>
          <w:tcPr>
            <w:tcW w:w="3270" w:type="dxa"/>
            <w:vMerge/>
            <w:shd w:val="clear" w:color="auto" w:fill="auto"/>
            <w:tcMar>
              <w:top w:w="100" w:type="dxa"/>
              <w:left w:w="100" w:type="dxa"/>
              <w:bottom w:w="100" w:type="dxa"/>
              <w:right w:w="100" w:type="dxa"/>
            </w:tcMar>
          </w:tcPr>
          <w:p w14:paraId="1BD2DBC3"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0345923F"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3.3 Distribution of both new and existing resources</w:t>
            </w:r>
          </w:p>
        </w:tc>
        <w:tc>
          <w:tcPr>
            <w:tcW w:w="3030" w:type="dxa"/>
            <w:shd w:val="clear" w:color="auto" w:fill="auto"/>
            <w:tcMar>
              <w:top w:w="100" w:type="dxa"/>
              <w:left w:w="100" w:type="dxa"/>
              <w:bottom w:w="100" w:type="dxa"/>
              <w:right w:w="100" w:type="dxa"/>
            </w:tcMar>
          </w:tcPr>
          <w:p w14:paraId="6F091CB4"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3.3.1 Host all such relevant resources in a single online hub</w:t>
            </w:r>
          </w:p>
          <w:p w14:paraId="4B9F237F"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3.3.2 Support the effective use of these resources through the creation of pilot projects and tests</w:t>
            </w:r>
          </w:p>
          <w:p w14:paraId="1F083C87"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 xml:space="preserve">3.3.3 </w:t>
            </w:r>
            <w:r w:rsidRPr="00C55528">
              <w:rPr>
                <w:rFonts w:cs="Arial"/>
                <w:szCs w:val="22"/>
              </w:rPr>
              <w:t>Leverage existing ocean literacy networks to create pilot projects and tests that maximize the distribution of resources</w:t>
            </w:r>
          </w:p>
        </w:tc>
      </w:tr>
      <w:tr w:rsidR="004D4543" w:rsidRPr="00C55528" w14:paraId="6E57062D" w14:textId="77777777" w:rsidTr="004D4543">
        <w:trPr>
          <w:trHeight w:val="1870"/>
        </w:trPr>
        <w:tc>
          <w:tcPr>
            <w:tcW w:w="3270" w:type="dxa"/>
            <w:vMerge w:val="restart"/>
            <w:shd w:val="clear" w:color="auto" w:fill="auto"/>
            <w:tcMar>
              <w:top w:w="100" w:type="dxa"/>
              <w:left w:w="100" w:type="dxa"/>
              <w:bottom w:w="100" w:type="dxa"/>
              <w:right w:w="100" w:type="dxa"/>
            </w:tcMar>
          </w:tcPr>
          <w:p w14:paraId="5FD71CF5" w14:textId="77777777" w:rsidR="004D4543" w:rsidRPr="00C55528" w:rsidRDefault="004D4543" w:rsidP="00C55528">
            <w:pPr>
              <w:widowControl w:val="0"/>
              <w:spacing w:after="120"/>
              <w:rPr>
                <w:rFonts w:cs="Arial"/>
                <w:szCs w:val="22"/>
              </w:rPr>
            </w:pPr>
            <w:r w:rsidRPr="00C55528">
              <w:rPr>
                <w:rFonts w:cs="Arial"/>
                <w:b/>
                <w:szCs w:val="22"/>
                <w:highlight w:val="white"/>
              </w:rPr>
              <w:t>4. Capacity Development for Effective Ocean Stewardship</w:t>
            </w:r>
          </w:p>
        </w:tc>
        <w:tc>
          <w:tcPr>
            <w:tcW w:w="3075" w:type="dxa"/>
            <w:shd w:val="clear" w:color="auto" w:fill="auto"/>
            <w:tcMar>
              <w:top w:w="100" w:type="dxa"/>
              <w:left w:w="100" w:type="dxa"/>
              <w:bottom w:w="100" w:type="dxa"/>
              <w:right w:w="100" w:type="dxa"/>
            </w:tcMar>
          </w:tcPr>
          <w:p w14:paraId="3096C5B4" w14:textId="7B48C5B9" w:rsidR="004D4543" w:rsidRPr="00C55528" w:rsidRDefault="004D4543" w:rsidP="00C55528">
            <w:pPr>
              <w:widowControl w:val="0"/>
              <w:spacing w:after="120"/>
              <w:rPr>
                <w:rFonts w:cs="Arial"/>
                <w:szCs w:val="22"/>
                <w:highlight w:val="white"/>
              </w:rPr>
            </w:pPr>
            <w:r w:rsidRPr="00C55528">
              <w:rPr>
                <w:rFonts w:cs="Arial"/>
                <w:szCs w:val="22"/>
                <w:highlight w:val="white"/>
              </w:rPr>
              <w:t>4.1 Evaluation of current stewardship capacities worldwide</w:t>
            </w:r>
          </w:p>
        </w:tc>
        <w:tc>
          <w:tcPr>
            <w:tcW w:w="3030" w:type="dxa"/>
            <w:shd w:val="clear" w:color="auto" w:fill="auto"/>
            <w:tcMar>
              <w:top w:w="100" w:type="dxa"/>
              <w:left w:w="100" w:type="dxa"/>
              <w:bottom w:w="100" w:type="dxa"/>
              <w:right w:w="100" w:type="dxa"/>
            </w:tcMar>
          </w:tcPr>
          <w:p w14:paraId="232B6641" w14:textId="77777777" w:rsidR="004D4543" w:rsidRPr="00C55528" w:rsidRDefault="004D4543" w:rsidP="00C55528">
            <w:pPr>
              <w:widowControl w:val="0"/>
              <w:spacing w:after="120"/>
              <w:rPr>
                <w:rFonts w:cs="Arial"/>
                <w:szCs w:val="22"/>
                <w:highlight w:val="white"/>
              </w:rPr>
            </w:pPr>
            <w:r w:rsidRPr="00C55528">
              <w:rPr>
                <w:rFonts w:cs="Arial"/>
                <w:szCs w:val="22"/>
                <w:highlight w:val="white"/>
              </w:rPr>
              <w:t>4.1.1 Conduct a needs assessment of the various stakeholder groups</w:t>
            </w:r>
          </w:p>
          <w:p w14:paraId="0806221A" w14:textId="43609377" w:rsidR="004D4543" w:rsidRPr="00C55528" w:rsidRDefault="004D4543" w:rsidP="00086969">
            <w:pPr>
              <w:widowControl w:val="0"/>
              <w:rPr>
                <w:rFonts w:cs="Arial"/>
                <w:szCs w:val="22"/>
                <w:highlight w:val="white"/>
              </w:rPr>
            </w:pPr>
            <w:r w:rsidRPr="00C55528">
              <w:rPr>
                <w:rFonts w:cs="Arial"/>
                <w:szCs w:val="22"/>
                <w:highlight w:val="white"/>
              </w:rPr>
              <w:t xml:space="preserve">4.1.2 Analyze the existing OL training resources and opportunities </w:t>
            </w:r>
          </w:p>
        </w:tc>
      </w:tr>
      <w:tr w:rsidR="004D4543" w:rsidRPr="00C55528" w14:paraId="5F97EE52" w14:textId="77777777" w:rsidTr="004D4543">
        <w:trPr>
          <w:trHeight w:val="2260"/>
        </w:trPr>
        <w:tc>
          <w:tcPr>
            <w:tcW w:w="3270" w:type="dxa"/>
            <w:vMerge/>
            <w:shd w:val="clear" w:color="auto" w:fill="auto"/>
            <w:tcMar>
              <w:top w:w="100" w:type="dxa"/>
              <w:left w:w="100" w:type="dxa"/>
              <w:bottom w:w="100" w:type="dxa"/>
              <w:right w:w="100" w:type="dxa"/>
            </w:tcMar>
          </w:tcPr>
          <w:p w14:paraId="01EE8280"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36111DED" w14:textId="126210A2" w:rsidR="004D4543" w:rsidRPr="00C55528" w:rsidRDefault="004D4543" w:rsidP="004D4543">
            <w:pPr>
              <w:widowControl w:val="0"/>
              <w:spacing w:after="120"/>
              <w:rPr>
                <w:rFonts w:cs="Arial"/>
                <w:szCs w:val="22"/>
                <w:highlight w:val="white"/>
              </w:rPr>
            </w:pPr>
            <w:r w:rsidRPr="00C55528">
              <w:rPr>
                <w:rFonts w:cs="Arial"/>
                <w:szCs w:val="22"/>
                <w:highlight w:val="white"/>
              </w:rPr>
              <w:t>4.2 Development of programs to bridge gaps in capacity among stakeholders</w:t>
            </w:r>
          </w:p>
        </w:tc>
        <w:tc>
          <w:tcPr>
            <w:tcW w:w="3030" w:type="dxa"/>
            <w:shd w:val="clear" w:color="auto" w:fill="auto"/>
            <w:tcMar>
              <w:top w:w="100" w:type="dxa"/>
              <w:left w:w="100" w:type="dxa"/>
              <w:bottom w:w="100" w:type="dxa"/>
              <w:right w:w="100" w:type="dxa"/>
            </w:tcMar>
          </w:tcPr>
          <w:p w14:paraId="6301083F"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4.2.1 Design a capacity development strategy based on results of the needs assessment</w:t>
            </w:r>
          </w:p>
          <w:p w14:paraId="49B5D422" w14:textId="7700286D" w:rsidR="004D4543" w:rsidRPr="00C55528" w:rsidRDefault="004D4543" w:rsidP="004D4543">
            <w:pPr>
              <w:widowControl w:val="0"/>
              <w:spacing w:after="120"/>
              <w:rPr>
                <w:rFonts w:cs="Arial"/>
                <w:szCs w:val="22"/>
                <w:highlight w:val="white"/>
              </w:rPr>
            </w:pPr>
            <w:r w:rsidRPr="00C55528">
              <w:rPr>
                <w:rFonts w:cs="Arial"/>
                <w:szCs w:val="22"/>
                <w:highlight w:val="white"/>
              </w:rPr>
              <w:t xml:space="preserve">4.2.2 Widen access to training resources and opportunities among all stakeholders </w:t>
            </w:r>
          </w:p>
        </w:tc>
      </w:tr>
      <w:tr w:rsidR="004D4543" w:rsidRPr="00C55528" w14:paraId="5CF75C54" w14:textId="77777777" w:rsidTr="00086969">
        <w:trPr>
          <w:trHeight w:val="2515"/>
        </w:trPr>
        <w:tc>
          <w:tcPr>
            <w:tcW w:w="3270" w:type="dxa"/>
            <w:vMerge/>
            <w:shd w:val="clear" w:color="auto" w:fill="auto"/>
            <w:tcMar>
              <w:top w:w="100" w:type="dxa"/>
              <w:left w:w="100" w:type="dxa"/>
              <w:bottom w:w="100" w:type="dxa"/>
              <w:right w:w="100" w:type="dxa"/>
            </w:tcMar>
          </w:tcPr>
          <w:p w14:paraId="6DBE76B5"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3EDCF0B2"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4.3 Organization of opportunities to develop capacities tailored to the needs of different stakeholder groups</w:t>
            </w:r>
          </w:p>
        </w:tc>
        <w:tc>
          <w:tcPr>
            <w:tcW w:w="3030" w:type="dxa"/>
            <w:shd w:val="clear" w:color="auto" w:fill="auto"/>
            <w:tcMar>
              <w:top w:w="100" w:type="dxa"/>
              <w:left w:w="100" w:type="dxa"/>
              <w:bottom w:w="100" w:type="dxa"/>
              <w:right w:w="100" w:type="dxa"/>
            </w:tcMar>
          </w:tcPr>
          <w:p w14:paraId="78EB53F0" w14:textId="77777777" w:rsidR="004D4543" w:rsidRPr="00C55528" w:rsidRDefault="004D4543" w:rsidP="004D4543">
            <w:pPr>
              <w:widowControl w:val="0"/>
              <w:spacing w:after="120"/>
              <w:rPr>
                <w:rFonts w:cs="Arial"/>
                <w:szCs w:val="22"/>
              </w:rPr>
            </w:pPr>
            <w:r w:rsidRPr="00C55528">
              <w:rPr>
                <w:rFonts w:cs="Arial"/>
                <w:szCs w:val="22"/>
              </w:rPr>
              <w:t>4.3.1 Build on the success of OL Summer Schools and ECOP-led initiatives to amplify their capacity development potential</w:t>
            </w:r>
          </w:p>
          <w:p w14:paraId="3D0AA8B7" w14:textId="77777777" w:rsidR="004D4543" w:rsidRPr="00C55528" w:rsidRDefault="004D4543" w:rsidP="00086969">
            <w:pPr>
              <w:widowControl w:val="0"/>
              <w:rPr>
                <w:rFonts w:cs="Arial"/>
                <w:szCs w:val="22"/>
                <w:highlight w:val="white"/>
              </w:rPr>
            </w:pPr>
            <w:r w:rsidRPr="00C55528">
              <w:rPr>
                <w:rFonts w:cs="Arial"/>
                <w:szCs w:val="22"/>
                <w:highlight w:val="white"/>
              </w:rPr>
              <w:t>4.3.2 Leverage the Ocean Teacher Global Academy to deliver tailored resources to target groups</w:t>
            </w:r>
          </w:p>
        </w:tc>
      </w:tr>
      <w:tr w:rsidR="004D4543" w:rsidRPr="00C55528" w14:paraId="73CD8EA2" w14:textId="77777777" w:rsidTr="004D4543">
        <w:trPr>
          <w:trHeight w:val="1500"/>
        </w:trPr>
        <w:tc>
          <w:tcPr>
            <w:tcW w:w="3270" w:type="dxa"/>
            <w:vMerge w:val="restart"/>
            <w:shd w:val="clear" w:color="auto" w:fill="auto"/>
            <w:tcMar>
              <w:top w:w="100" w:type="dxa"/>
              <w:left w:w="100" w:type="dxa"/>
              <w:bottom w:w="100" w:type="dxa"/>
              <w:right w:w="100" w:type="dxa"/>
            </w:tcMar>
          </w:tcPr>
          <w:p w14:paraId="1B94D82C" w14:textId="4D56FD33" w:rsidR="004D4543" w:rsidRPr="00C55528" w:rsidRDefault="004D4543" w:rsidP="00C55528">
            <w:pPr>
              <w:widowControl w:val="0"/>
              <w:spacing w:after="120"/>
              <w:rPr>
                <w:rFonts w:cs="Arial"/>
                <w:szCs w:val="22"/>
                <w:highlight w:val="white"/>
              </w:rPr>
            </w:pPr>
            <w:r w:rsidRPr="00C55528">
              <w:rPr>
                <w:rFonts w:cs="Arial"/>
                <w:b/>
                <w:szCs w:val="22"/>
                <w:highlight w:val="white"/>
              </w:rPr>
              <w:t xml:space="preserve">5. </w:t>
            </w:r>
            <w:r w:rsidRPr="00C55528">
              <w:rPr>
                <w:rFonts w:cs="Arial"/>
                <w:b/>
                <w:szCs w:val="22"/>
              </w:rPr>
              <w:t>Further research on human behavio</w:t>
            </w:r>
            <w:r w:rsidR="00086969">
              <w:rPr>
                <w:rFonts w:cs="Arial"/>
                <w:b/>
                <w:szCs w:val="22"/>
              </w:rPr>
              <w:t>u</w:t>
            </w:r>
            <w:r w:rsidRPr="00C55528">
              <w:rPr>
                <w:rFonts w:cs="Arial"/>
                <w:b/>
                <w:szCs w:val="22"/>
              </w:rPr>
              <w:t>ral change, science communication, impacts of ocean literacy to improve its efficacy</w:t>
            </w:r>
          </w:p>
        </w:tc>
        <w:tc>
          <w:tcPr>
            <w:tcW w:w="3075" w:type="dxa"/>
            <w:shd w:val="clear" w:color="auto" w:fill="auto"/>
            <w:tcMar>
              <w:top w:w="100" w:type="dxa"/>
              <w:left w:w="100" w:type="dxa"/>
              <w:bottom w:w="100" w:type="dxa"/>
              <w:right w:w="100" w:type="dxa"/>
            </w:tcMar>
          </w:tcPr>
          <w:p w14:paraId="4A1A1447" w14:textId="604174FF" w:rsidR="004D4543" w:rsidRPr="00C55528" w:rsidRDefault="004D4543" w:rsidP="00980720">
            <w:pPr>
              <w:widowControl w:val="0"/>
              <w:spacing w:after="240"/>
              <w:rPr>
                <w:rFonts w:cs="Arial"/>
                <w:szCs w:val="22"/>
                <w:highlight w:val="white"/>
              </w:rPr>
            </w:pPr>
            <w:r w:rsidRPr="00C55528">
              <w:rPr>
                <w:rFonts w:cs="Arial"/>
                <w:szCs w:val="22"/>
                <w:highlight w:val="white"/>
              </w:rPr>
              <w:t>5.1 Establish experts’</w:t>
            </w:r>
            <w:r>
              <w:rPr>
                <w:rFonts w:cs="Arial"/>
                <w:szCs w:val="22"/>
                <w:highlight w:val="white"/>
              </w:rPr>
              <w:t xml:space="preserve"> </w:t>
            </w:r>
            <w:r w:rsidRPr="00C55528">
              <w:rPr>
                <w:rFonts w:cs="Arial"/>
                <w:szCs w:val="22"/>
                <w:highlight w:val="white"/>
              </w:rPr>
              <w:t>networks on behavioural</w:t>
            </w:r>
            <w:r>
              <w:rPr>
                <w:rFonts w:cs="Arial"/>
                <w:szCs w:val="22"/>
                <w:highlight w:val="white"/>
              </w:rPr>
              <w:t xml:space="preserve"> </w:t>
            </w:r>
            <w:r w:rsidRPr="00C55528">
              <w:rPr>
                <w:rFonts w:cs="Arial"/>
                <w:szCs w:val="22"/>
                <w:highlight w:val="white"/>
              </w:rPr>
              <w:t>change, science communication, and</w:t>
            </w:r>
            <w:r>
              <w:rPr>
                <w:rFonts w:cs="Arial"/>
                <w:szCs w:val="22"/>
                <w:highlight w:val="white"/>
              </w:rPr>
              <w:t xml:space="preserve"> </w:t>
            </w:r>
            <w:r w:rsidRPr="00C55528">
              <w:rPr>
                <w:rFonts w:cs="Arial"/>
                <w:szCs w:val="22"/>
                <w:highlight w:val="white"/>
              </w:rPr>
              <w:t>impact assessment</w:t>
            </w:r>
          </w:p>
        </w:tc>
        <w:tc>
          <w:tcPr>
            <w:tcW w:w="3030" w:type="dxa"/>
            <w:shd w:val="clear" w:color="auto" w:fill="auto"/>
            <w:tcMar>
              <w:top w:w="100" w:type="dxa"/>
              <w:left w:w="100" w:type="dxa"/>
              <w:bottom w:w="100" w:type="dxa"/>
              <w:right w:w="100" w:type="dxa"/>
            </w:tcMar>
          </w:tcPr>
          <w:p w14:paraId="2EF122B7" w14:textId="38F17002" w:rsidR="004D4543" w:rsidRPr="00C55528" w:rsidRDefault="004D4543" w:rsidP="004D4543">
            <w:pPr>
              <w:widowControl w:val="0"/>
              <w:shd w:val="clear" w:color="auto" w:fill="FFFFFF"/>
              <w:spacing w:after="240"/>
              <w:rPr>
                <w:rFonts w:cs="Arial"/>
                <w:szCs w:val="22"/>
                <w:highlight w:val="white"/>
              </w:rPr>
            </w:pPr>
            <w:r w:rsidRPr="00C55528">
              <w:rPr>
                <w:rFonts w:cs="Arial"/>
                <w:szCs w:val="22"/>
                <w:highlight w:val="white"/>
              </w:rPr>
              <w:t>5.1.1 Identify experts in the fields of behavio</w:t>
            </w:r>
            <w:r>
              <w:rPr>
                <w:rFonts w:cs="Arial"/>
                <w:szCs w:val="22"/>
                <w:highlight w:val="white"/>
              </w:rPr>
              <w:t>u</w:t>
            </w:r>
            <w:r w:rsidRPr="00C55528">
              <w:rPr>
                <w:rFonts w:cs="Arial"/>
                <w:szCs w:val="22"/>
                <w:highlight w:val="white"/>
              </w:rPr>
              <w:t>ral change, science communication, and</w:t>
            </w:r>
            <w:r>
              <w:rPr>
                <w:rFonts w:cs="Arial"/>
                <w:szCs w:val="22"/>
                <w:highlight w:val="white"/>
              </w:rPr>
              <w:t xml:space="preserve"> </w:t>
            </w:r>
            <w:r w:rsidRPr="00C55528">
              <w:rPr>
                <w:rFonts w:cs="Arial"/>
                <w:szCs w:val="22"/>
                <w:highlight w:val="white"/>
              </w:rPr>
              <w:t>impact assessment</w:t>
            </w:r>
          </w:p>
        </w:tc>
      </w:tr>
      <w:tr w:rsidR="004D4543" w:rsidRPr="00C55528" w14:paraId="124AF74E" w14:textId="77777777" w:rsidTr="004D4543">
        <w:trPr>
          <w:trHeight w:val="3450"/>
        </w:trPr>
        <w:tc>
          <w:tcPr>
            <w:tcW w:w="3270" w:type="dxa"/>
            <w:vMerge/>
            <w:shd w:val="clear" w:color="auto" w:fill="auto"/>
            <w:tcMar>
              <w:top w:w="100" w:type="dxa"/>
              <w:left w:w="100" w:type="dxa"/>
              <w:bottom w:w="100" w:type="dxa"/>
              <w:right w:w="100" w:type="dxa"/>
            </w:tcMar>
          </w:tcPr>
          <w:p w14:paraId="1A35B49F"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195EEEFD" w14:textId="79CCFCE3" w:rsidR="004D4543" w:rsidRPr="00C55528" w:rsidRDefault="004D4543" w:rsidP="004D4543">
            <w:pPr>
              <w:widowControl w:val="0"/>
              <w:spacing w:after="120"/>
              <w:rPr>
                <w:rFonts w:cs="Arial"/>
                <w:szCs w:val="22"/>
                <w:highlight w:val="white"/>
              </w:rPr>
            </w:pPr>
            <w:r w:rsidRPr="00C55528">
              <w:rPr>
                <w:rFonts w:cs="Arial"/>
                <w:szCs w:val="22"/>
                <w:highlight w:val="white"/>
              </w:rPr>
              <w:t>5.2</w:t>
            </w:r>
            <w:r>
              <w:rPr>
                <w:rFonts w:cs="Arial"/>
                <w:szCs w:val="22"/>
                <w:highlight w:val="white"/>
              </w:rPr>
              <w:t xml:space="preserve"> </w:t>
            </w:r>
            <w:r w:rsidRPr="00C55528">
              <w:rPr>
                <w:rFonts w:cs="Arial"/>
                <w:szCs w:val="22"/>
                <w:highlight w:val="white"/>
              </w:rPr>
              <w:t>Develop tools for</w:t>
            </w:r>
            <w:r>
              <w:rPr>
                <w:rFonts w:cs="Arial"/>
                <w:szCs w:val="22"/>
                <w:highlight w:val="white"/>
              </w:rPr>
              <w:t xml:space="preserve"> </w:t>
            </w:r>
            <w:r w:rsidRPr="00C55528">
              <w:rPr>
                <w:rFonts w:cs="Arial"/>
                <w:szCs w:val="22"/>
                <w:highlight w:val="white"/>
              </w:rPr>
              <w:t>behavioural change,</w:t>
            </w:r>
            <w:r>
              <w:rPr>
                <w:rFonts w:cs="Arial"/>
                <w:szCs w:val="22"/>
                <w:highlight w:val="white"/>
              </w:rPr>
              <w:t xml:space="preserve"> </w:t>
            </w:r>
            <w:r w:rsidRPr="00C55528">
              <w:rPr>
                <w:rFonts w:cs="Arial"/>
                <w:szCs w:val="22"/>
                <w:highlight w:val="white"/>
              </w:rPr>
              <w:t>science communication,</w:t>
            </w:r>
            <w:r>
              <w:rPr>
                <w:rFonts w:cs="Arial"/>
                <w:szCs w:val="22"/>
                <w:highlight w:val="white"/>
              </w:rPr>
              <w:t xml:space="preserve"> </w:t>
            </w:r>
            <w:r w:rsidRPr="00C55528">
              <w:rPr>
                <w:rFonts w:cs="Arial"/>
                <w:szCs w:val="22"/>
                <w:highlight w:val="white"/>
              </w:rPr>
              <w:t>and impact assessment</w:t>
            </w:r>
          </w:p>
        </w:tc>
        <w:tc>
          <w:tcPr>
            <w:tcW w:w="3030" w:type="dxa"/>
            <w:shd w:val="clear" w:color="auto" w:fill="auto"/>
            <w:tcMar>
              <w:top w:w="100" w:type="dxa"/>
              <w:left w:w="100" w:type="dxa"/>
              <w:bottom w:w="100" w:type="dxa"/>
              <w:right w:w="100" w:type="dxa"/>
            </w:tcMar>
          </w:tcPr>
          <w:p w14:paraId="1120345D" w14:textId="77777777" w:rsidR="004D4543" w:rsidRPr="00C55528" w:rsidRDefault="004D4543" w:rsidP="004D4543">
            <w:pPr>
              <w:widowControl w:val="0"/>
              <w:shd w:val="clear" w:color="auto" w:fill="FFFFFF"/>
              <w:spacing w:after="120"/>
              <w:rPr>
                <w:rFonts w:cs="Arial"/>
                <w:szCs w:val="22"/>
                <w:highlight w:val="white"/>
              </w:rPr>
            </w:pPr>
            <w:r w:rsidRPr="00C55528">
              <w:rPr>
                <w:rFonts w:cs="Arial"/>
                <w:szCs w:val="22"/>
                <w:highlight w:val="white"/>
              </w:rPr>
              <w:t>5.2.1 In partnership with</w:t>
            </w:r>
            <w:r>
              <w:rPr>
                <w:rFonts w:cs="Arial"/>
                <w:szCs w:val="22"/>
                <w:highlight w:val="white"/>
              </w:rPr>
              <w:t xml:space="preserve"> </w:t>
            </w:r>
            <w:r w:rsidRPr="00C55528">
              <w:rPr>
                <w:rFonts w:cs="Arial"/>
                <w:szCs w:val="22"/>
                <w:highlight w:val="white"/>
              </w:rPr>
              <w:t>experts identify opportunities</w:t>
            </w:r>
            <w:r>
              <w:rPr>
                <w:rFonts w:cs="Arial"/>
                <w:szCs w:val="22"/>
                <w:highlight w:val="white"/>
              </w:rPr>
              <w:t xml:space="preserve"> </w:t>
            </w:r>
            <w:r w:rsidRPr="00C55528">
              <w:rPr>
                <w:rFonts w:cs="Arial"/>
                <w:szCs w:val="22"/>
                <w:highlight w:val="white"/>
              </w:rPr>
              <w:t>to develop innovative tools for</w:t>
            </w:r>
            <w:r>
              <w:rPr>
                <w:rFonts w:cs="Arial"/>
                <w:szCs w:val="22"/>
                <w:highlight w:val="white"/>
              </w:rPr>
              <w:t xml:space="preserve"> </w:t>
            </w:r>
            <w:r w:rsidRPr="00C55528">
              <w:rPr>
                <w:rFonts w:cs="Arial"/>
                <w:szCs w:val="22"/>
                <w:highlight w:val="white"/>
              </w:rPr>
              <w:t>behaviour change, science</w:t>
            </w:r>
            <w:r>
              <w:rPr>
                <w:rFonts w:cs="Arial"/>
                <w:szCs w:val="22"/>
                <w:highlight w:val="white"/>
              </w:rPr>
              <w:t xml:space="preserve"> </w:t>
            </w:r>
            <w:r w:rsidRPr="00C55528">
              <w:rPr>
                <w:rFonts w:cs="Arial"/>
                <w:szCs w:val="22"/>
                <w:highlight w:val="white"/>
              </w:rPr>
              <w:t>communication, and impact</w:t>
            </w:r>
            <w:r>
              <w:rPr>
                <w:rFonts w:cs="Arial"/>
                <w:szCs w:val="22"/>
                <w:highlight w:val="white"/>
              </w:rPr>
              <w:t xml:space="preserve"> </w:t>
            </w:r>
            <w:r w:rsidRPr="00C55528">
              <w:rPr>
                <w:rFonts w:cs="Arial"/>
                <w:szCs w:val="22"/>
                <w:highlight w:val="white"/>
              </w:rPr>
              <w:t>assessment</w:t>
            </w:r>
          </w:p>
          <w:p w14:paraId="6A030E5D" w14:textId="480E91A4" w:rsidR="004D4543" w:rsidRPr="00C55528" w:rsidRDefault="004D4543" w:rsidP="004D4543">
            <w:pPr>
              <w:widowControl w:val="0"/>
              <w:shd w:val="clear" w:color="auto" w:fill="FFFFFF"/>
              <w:spacing w:after="120"/>
              <w:rPr>
                <w:rFonts w:cs="Arial"/>
                <w:szCs w:val="22"/>
                <w:highlight w:val="white"/>
              </w:rPr>
            </w:pPr>
            <w:r w:rsidRPr="00C55528">
              <w:rPr>
                <w:rFonts w:cs="Arial"/>
                <w:szCs w:val="22"/>
                <w:highlight w:val="white"/>
              </w:rPr>
              <w:t>5.2.2 Design and implement</w:t>
            </w:r>
            <w:r>
              <w:rPr>
                <w:rFonts w:cs="Arial"/>
                <w:szCs w:val="22"/>
                <w:highlight w:val="white"/>
              </w:rPr>
              <w:t xml:space="preserve"> </w:t>
            </w:r>
            <w:r w:rsidRPr="00C55528">
              <w:rPr>
                <w:rFonts w:cs="Arial"/>
                <w:szCs w:val="22"/>
                <w:highlight w:val="white"/>
              </w:rPr>
              <w:t>unified</w:t>
            </w:r>
            <w:r>
              <w:rPr>
                <w:rFonts w:cs="Arial"/>
                <w:szCs w:val="22"/>
                <w:highlight w:val="white"/>
              </w:rPr>
              <w:t xml:space="preserve"> </w:t>
            </w:r>
            <w:r w:rsidRPr="00C55528">
              <w:rPr>
                <w:rFonts w:cs="Arial"/>
                <w:szCs w:val="22"/>
                <w:highlight w:val="white"/>
              </w:rPr>
              <w:t>indicators to measure behavioural change and evaluate impact on a national, regional,</w:t>
            </w:r>
            <w:r>
              <w:rPr>
                <w:rFonts w:cs="Arial"/>
                <w:szCs w:val="22"/>
                <w:highlight w:val="white"/>
              </w:rPr>
              <w:t xml:space="preserve"> </w:t>
            </w:r>
            <w:r w:rsidRPr="00C55528">
              <w:rPr>
                <w:rFonts w:cs="Arial"/>
                <w:szCs w:val="22"/>
                <w:highlight w:val="white"/>
              </w:rPr>
              <w:t>and global level</w:t>
            </w:r>
          </w:p>
        </w:tc>
      </w:tr>
      <w:tr w:rsidR="004D4543" w:rsidRPr="00C55528" w14:paraId="01C47E6E" w14:textId="77777777" w:rsidTr="004D4543">
        <w:tc>
          <w:tcPr>
            <w:tcW w:w="3270" w:type="dxa"/>
            <w:vMerge/>
            <w:shd w:val="clear" w:color="auto" w:fill="auto"/>
            <w:tcMar>
              <w:top w:w="100" w:type="dxa"/>
              <w:left w:w="100" w:type="dxa"/>
              <w:bottom w:w="100" w:type="dxa"/>
              <w:right w:w="100" w:type="dxa"/>
            </w:tcMar>
          </w:tcPr>
          <w:p w14:paraId="2E1F31FB"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7DCD437F"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5.3</w:t>
            </w:r>
            <w:r>
              <w:rPr>
                <w:rFonts w:cs="Arial"/>
                <w:szCs w:val="22"/>
                <w:highlight w:val="white"/>
              </w:rPr>
              <w:t xml:space="preserve"> </w:t>
            </w:r>
            <w:r w:rsidRPr="00C55528">
              <w:rPr>
                <w:rFonts w:cs="Arial"/>
                <w:szCs w:val="22"/>
                <w:highlight w:val="white"/>
              </w:rPr>
              <w:t>Promote research</w:t>
            </w:r>
            <w:r>
              <w:rPr>
                <w:rFonts w:cs="Arial"/>
                <w:szCs w:val="22"/>
                <w:highlight w:val="white"/>
              </w:rPr>
              <w:t xml:space="preserve"> </w:t>
            </w:r>
            <w:r w:rsidRPr="00C55528">
              <w:rPr>
                <w:rFonts w:cs="Arial"/>
                <w:szCs w:val="22"/>
                <w:highlight w:val="white"/>
              </w:rPr>
              <w:t>projects on behaviour</w:t>
            </w:r>
            <w:r>
              <w:rPr>
                <w:rFonts w:cs="Arial"/>
                <w:szCs w:val="22"/>
                <w:highlight w:val="white"/>
              </w:rPr>
              <w:t xml:space="preserve"> </w:t>
            </w:r>
            <w:r w:rsidRPr="00C55528">
              <w:rPr>
                <w:rFonts w:cs="Arial"/>
                <w:szCs w:val="22"/>
                <w:highlight w:val="white"/>
              </w:rPr>
              <w:t>change, science</w:t>
            </w:r>
            <w:r>
              <w:rPr>
                <w:rFonts w:cs="Arial"/>
                <w:szCs w:val="22"/>
                <w:highlight w:val="white"/>
              </w:rPr>
              <w:t xml:space="preserve"> </w:t>
            </w:r>
            <w:r w:rsidRPr="00C55528">
              <w:rPr>
                <w:rFonts w:cs="Arial"/>
                <w:szCs w:val="22"/>
                <w:highlight w:val="white"/>
              </w:rPr>
              <w:t>communication, and</w:t>
            </w:r>
            <w:r>
              <w:rPr>
                <w:rFonts w:cs="Arial"/>
                <w:szCs w:val="22"/>
                <w:highlight w:val="white"/>
              </w:rPr>
              <w:t xml:space="preserve"> </w:t>
            </w:r>
            <w:r w:rsidRPr="00C55528">
              <w:rPr>
                <w:rFonts w:cs="Arial"/>
                <w:szCs w:val="22"/>
                <w:highlight w:val="white"/>
              </w:rPr>
              <w:t>impacts of ocean literacy</w:t>
            </w:r>
          </w:p>
        </w:tc>
        <w:tc>
          <w:tcPr>
            <w:tcW w:w="3030" w:type="dxa"/>
            <w:shd w:val="clear" w:color="auto" w:fill="auto"/>
            <w:tcMar>
              <w:top w:w="100" w:type="dxa"/>
              <w:left w:w="100" w:type="dxa"/>
              <w:bottom w:w="100" w:type="dxa"/>
              <w:right w:w="100" w:type="dxa"/>
            </w:tcMar>
          </w:tcPr>
          <w:p w14:paraId="762E20C6" w14:textId="77777777" w:rsidR="004D4543" w:rsidRPr="00C55528" w:rsidRDefault="004D4543" w:rsidP="004D4543">
            <w:pPr>
              <w:widowControl w:val="0"/>
              <w:shd w:val="clear" w:color="auto" w:fill="FFFFFF"/>
              <w:spacing w:after="120"/>
              <w:rPr>
                <w:rFonts w:cs="Arial"/>
                <w:szCs w:val="22"/>
                <w:highlight w:val="white"/>
              </w:rPr>
            </w:pPr>
            <w:r w:rsidRPr="00C55528">
              <w:rPr>
                <w:rFonts w:cs="Arial"/>
                <w:szCs w:val="22"/>
                <w:highlight w:val="white"/>
              </w:rPr>
              <w:t>5.3.1 Verify the existence of projects on behaviour change,</w:t>
            </w:r>
            <w:r>
              <w:rPr>
                <w:rFonts w:cs="Arial"/>
                <w:szCs w:val="22"/>
                <w:highlight w:val="white"/>
              </w:rPr>
              <w:t xml:space="preserve"> </w:t>
            </w:r>
            <w:r w:rsidRPr="00C55528">
              <w:rPr>
                <w:rFonts w:cs="Arial"/>
                <w:szCs w:val="22"/>
                <w:highlight w:val="white"/>
              </w:rPr>
              <w:t>science communication and impacts of ocean literacy</w:t>
            </w:r>
          </w:p>
          <w:p w14:paraId="62AC4204" w14:textId="77777777" w:rsidR="004D4543" w:rsidRPr="00C55528" w:rsidRDefault="004D4543" w:rsidP="004D4543">
            <w:pPr>
              <w:widowControl w:val="0"/>
              <w:shd w:val="clear" w:color="auto" w:fill="FFFFFF"/>
              <w:spacing w:after="120"/>
              <w:rPr>
                <w:rFonts w:cs="Arial"/>
                <w:szCs w:val="22"/>
                <w:highlight w:val="white"/>
              </w:rPr>
            </w:pPr>
            <w:r w:rsidRPr="00C55528">
              <w:rPr>
                <w:rFonts w:cs="Arial"/>
                <w:szCs w:val="22"/>
                <w:highlight w:val="white"/>
              </w:rPr>
              <w:t>5.3.2 Implement and</w:t>
            </w:r>
            <w:r>
              <w:rPr>
                <w:rFonts w:cs="Arial"/>
                <w:szCs w:val="22"/>
                <w:highlight w:val="white"/>
              </w:rPr>
              <w:t xml:space="preserve"> </w:t>
            </w:r>
            <w:r w:rsidRPr="00C55528">
              <w:rPr>
                <w:rFonts w:cs="Arial"/>
                <w:szCs w:val="22"/>
                <w:highlight w:val="white"/>
              </w:rPr>
              <w:t>collaborate with citizen</w:t>
            </w:r>
            <w:r>
              <w:rPr>
                <w:rFonts w:cs="Arial"/>
                <w:szCs w:val="22"/>
                <w:highlight w:val="white"/>
              </w:rPr>
              <w:t xml:space="preserve"> </w:t>
            </w:r>
            <w:r w:rsidRPr="00C55528">
              <w:rPr>
                <w:rFonts w:cs="Arial"/>
                <w:szCs w:val="22"/>
                <w:highlight w:val="white"/>
              </w:rPr>
              <w:t>science programmes</w:t>
            </w:r>
          </w:p>
          <w:p w14:paraId="46A34CC2" w14:textId="77777777" w:rsidR="004D4543" w:rsidRPr="00C55528" w:rsidRDefault="004D4543" w:rsidP="004D4543">
            <w:pPr>
              <w:widowControl w:val="0"/>
              <w:shd w:val="clear" w:color="auto" w:fill="FFFFFF"/>
              <w:spacing w:after="120"/>
              <w:rPr>
                <w:rFonts w:cs="Arial"/>
                <w:szCs w:val="22"/>
                <w:highlight w:val="white"/>
              </w:rPr>
            </w:pPr>
            <w:r w:rsidRPr="00C55528">
              <w:rPr>
                <w:rFonts w:cs="Arial"/>
                <w:szCs w:val="22"/>
                <w:highlight w:val="white"/>
              </w:rPr>
              <w:t xml:space="preserve">5.3.3 Define what gaps need </w:t>
            </w:r>
            <w:r w:rsidRPr="00C55528">
              <w:rPr>
                <w:rFonts w:cs="Arial"/>
                <w:szCs w:val="22"/>
                <w:highlight w:val="white"/>
              </w:rPr>
              <w:lastRenderedPageBreak/>
              <w:t>to be filled in those research areas</w:t>
            </w:r>
          </w:p>
        </w:tc>
      </w:tr>
      <w:tr w:rsidR="004D4543" w:rsidRPr="00C55528" w14:paraId="69D8365A" w14:textId="77777777" w:rsidTr="00086969">
        <w:trPr>
          <w:trHeight w:val="921"/>
        </w:trPr>
        <w:tc>
          <w:tcPr>
            <w:tcW w:w="3270" w:type="dxa"/>
            <w:vMerge w:val="restart"/>
            <w:shd w:val="clear" w:color="auto" w:fill="auto"/>
            <w:tcMar>
              <w:top w:w="100" w:type="dxa"/>
              <w:left w:w="100" w:type="dxa"/>
              <w:bottom w:w="100" w:type="dxa"/>
              <w:right w:w="100" w:type="dxa"/>
            </w:tcMar>
          </w:tcPr>
          <w:p w14:paraId="2FE5D9FC" w14:textId="77777777" w:rsidR="004D4543" w:rsidRPr="00C55528" w:rsidRDefault="004D4543" w:rsidP="00C55528">
            <w:pPr>
              <w:widowControl w:val="0"/>
              <w:spacing w:after="120"/>
              <w:rPr>
                <w:rFonts w:cs="Arial"/>
                <w:szCs w:val="22"/>
              </w:rPr>
            </w:pPr>
            <w:r w:rsidRPr="00C55528">
              <w:rPr>
                <w:rFonts w:cs="Arial"/>
                <w:b/>
                <w:szCs w:val="22"/>
                <w:highlight w:val="white"/>
              </w:rPr>
              <w:lastRenderedPageBreak/>
              <w:t>6. Sustained Resource Mobilization</w:t>
            </w:r>
          </w:p>
        </w:tc>
        <w:tc>
          <w:tcPr>
            <w:tcW w:w="3075" w:type="dxa"/>
            <w:shd w:val="clear" w:color="auto" w:fill="auto"/>
            <w:tcMar>
              <w:top w:w="100" w:type="dxa"/>
              <w:left w:w="100" w:type="dxa"/>
              <w:bottom w:w="100" w:type="dxa"/>
              <w:right w:w="100" w:type="dxa"/>
            </w:tcMar>
          </w:tcPr>
          <w:p w14:paraId="45E4DA8A" w14:textId="60F489A9" w:rsidR="004D4543" w:rsidRPr="00980720" w:rsidRDefault="004D4543" w:rsidP="00086969">
            <w:pPr>
              <w:widowControl w:val="0"/>
              <w:shd w:val="clear" w:color="auto" w:fill="FFFFFF"/>
              <w:spacing w:after="120"/>
              <w:rPr>
                <w:rFonts w:cs="Arial"/>
                <w:szCs w:val="22"/>
                <w:highlight w:val="white"/>
              </w:rPr>
            </w:pPr>
            <w:r w:rsidRPr="00C55528">
              <w:rPr>
                <w:rFonts w:cs="Arial"/>
                <w:szCs w:val="22"/>
                <w:highlight w:val="white"/>
              </w:rPr>
              <w:t>6.1</w:t>
            </w:r>
            <w:r>
              <w:rPr>
                <w:rFonts w:cs="Arial"/>
                <w:szCs w:val="22"/>
                <w:highlight w:val="white"/>
              </w:rPr>
              <w:t xml:space="preserve"> </w:t>
            </w:r>
            <w:r w:rsidRPr="00C55528">
              <w:rPr>
                <w:rFonts w:cs="Arial"/>
                <w:szCs w:val="22"/>
                <w:highlight w:val="white"/>
              </w:rPr>
              <w:t>In-kind opportunities</w:t>
            </w:r>
          </w:p>
        </w:tc>
        <w:tc>
          <w:tcPr>
            <w:tcW w:w="3030" w:type="dxa"/>
            <w:shd w:val="clear" w:color="auto" w:fill="auto"/>
            <w:tcMar>
              <w:top w:w="100" w:type="dxa"/>
              <w:left w:w="100" w:type="dxa"/>
              <w:bottom w:w="100" w:type="dxa"/>
              <w:right w:w="100" w:type="dxa"/>
            </w:tcMar>
          </w:tcPr>
          <w:p w14:paraId="150B340B" w14:textId="41A625A3" w:rsidR="004D4543" w:rsidRPr="00C55528" w:rsidRDefault="004D4543" w:rsidP="00086969">
            <w:pPr>
              <w:widowControl w:val="0"/>
              <w:shd w:val="clear" w:color="auto" w:fill="FFFFFF"/>
              <w:rPr>
                <w:rFonts w:cs="Arial"/>
                <w:szCs w:val="22"/>
                <w:highlight w:val="white"/>
              </w:rPr>
            </w:pPr>
            <w:r w:rsidRPr="00C55528">
              <w:rPr>
                <w:rFonts w:cs="Arial"/>
                <w:szCs w:val="22"/>
                <w:highlight w:val="white"/>
              </w:rPr>
              <w:t>6.1.1 Foster partnerships to</w:t>
            </w:r>
            <w:r>
              <w:rPr>
                <w:rFonts w:cs="Arial"/>
                <w:szCs w:val="22"/>
                <w:highlight w:val="white"/>
              </w:rPr>
              <w:t xml:space="preserve"> </w:t>
            </w:r>
            <w:r w:rsidRPr="00C55528">
              <w:rPr>
                <w:rFonts w:cs="Arial"/>
                <w:szCs w:val="22"/>
                <w:highlight w:val="white"/>
              </w:rPr>
              <w:t>increase in-kind support (for</w:t>
            </w:r>
            <w:r>
              <w:rPr>
                <w:rFonts w:cs="Arial"/>
                <w:szCs w:val="22"/>
                <w:highlight w:val="white"/>
              </w:rPr>
              <w:t xml:space="preserve"> </w:t>
            </w:r>
            <w:r w:rsidRPr="00C55528">
              <w:rPr>
                <w:rFonts w:cs="Arial"/>
                <w:szCs w:val="22"/>
                <w:highlight w:val="white"/>
              </w:rPr>
              <w:t>example, by encouraging</w:t>
            </w:r>
            <w:r>
              <w:rPr>
                <w:rFonts w:cs="Arial"/>
                <w:szCs w:val="22"/>
                <w:highlight w:val="white"/>
              </w:rPr>
              <w:t xml:space="preserve"> </w:t>
            </w:r>
            <w:r w:rsidRPr="00C55528">
              <w:rPr>
                <w:rFonts w:cs="Arial"/>
                <w:szCs w:val="22"/>
                <w:highlight w:val="white"/>
              </w:rPr>
              <w:t>secondments, loans...)</w:t>
            </w:r>
          </w:p>
        </w:tc>
      </w:tr>
      <w:tr w:rsidR="004D4543" w:rsidRPr="00C55528" w14:paraId="7C7C9ACE" w14:textId="77777777" w:rsidTr="00387911">
        <w:trPr>
          <w:trHeight w:val="2480"/>
        </w:trPr>
        <w:tc>
          <w:tcPr>
            <w:tcW w:w="3270" w:type="dxa"/>
            <w:vMerge/>
            <w:shd w:val="clear" w:color="auto" w:fill="auto"/>
            <w:tcMar>
              <w:top w:w="100" w:type="dxa"/>
              <w:left w:w="100" w:type="dxa"/>
              <w:bottom w:w="100" w:type="dxa"/>
              <w:right w:w="100" w:type="dxa"/>
            </w:tcMar>
          </w:tcPr>
          <w:p w14:paraId="71BC04AC"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550C3EE2" w14:textId="03D36C75" w:rsidR="004D4543" w:rsidRPr="00C55528" w:rsidRDefault="00086969" w:rsidP="00980720">
            <w:pPr>
              <w:widowControl w:val="0"/>
              <w:shd w:val="clear" w:color="auto" w:fill="FFFFFF"/>
              <w:spacing w:before="120" w:after="120"/>
              <w:rPr>
                <w:rFonts w:cs="Arial"/>
                <w:szCs w:val="22"/>
                <w:highlight w:val="white"/>
              </w:rPr>
            </w:pPr>
            <w:r w:rsidRPr="00C55528">
              <w:rPr>
                <w:rFonts w:cs="Arial"/>
                <w:szCs w:val="22"/>
                <w:highlight w:val="white"/>
              </w:rPr>
              <w:t xml:space="preserve">6.2 </w:t>
            </w:r>
            <w:r w:rsidRPr="00C55528">
              <w:rPr>
                <w:rFonts w:cs="Arial"/>
                <w:szCs w:val="22"/>
              </w:rPr>
              <w:t xml:space="preserve">Financial support by </w:t>
            </w:r>
            <w:r w:rsidR="004D4543" w:rsidRPr="00C55528">
              <w:rPr>
                <w:rFonts w:cs="Arial"/>
                <w:szCs w:val="22"/>
              </w:rPr>
              <w:t>Member States, the private sector, and philanthropies’ for IOC activities</w:t>
            </w:r>
          </w:p>
        </w:tc>
        <w:tc>
          <w:tcPr>
            <w:tcW w:w="3030" w:type="dxa"/>
            <w:shd w:val="clear" w:color="auto" w:fill="auto"/>
            <w:tcMar>
              <w:top w:w="100" w:type="dxa"/>
              <w:left w:w="100" w:type="dxa"/>
              <w:bottom w:w="100" w:type="dxa"/>
              <w:right w:w="100" w:type="dxa"/>
            </w:tcMar>
          </w:tcPr>
          <w:p w14:paraId="200A2E7D" w14:textId="77777777" w:rsidR="004D4543" w:rsidRPr="00C55528" w:rsidRDefault="004D4543" w:rsidP="004D4543">
            <w:pPr>
              <w:widowControl w:val="0"/>
              <w:shd w:val="clear" w:color="auto" w:fill="FFFFFF"/>
              <w:spacing w:after="120"/>
              <w:rPr>
                <w:rFonts w:cs="Arial"/>
                <w:szCs w:val="22"/>
                <w:highlight w:val="white"/>
              </w:rPr>
            </w:pPr>
            <w:r w:rsidRPr="00C55528">
              <w:rPr>
                <w:rFonts w:cs="Arial"/>
                <w:szCs w:val="22"/>
                <w:highlight w:val="white"/>
              </w:rPr>
              <w:t>6.2.1 Mobilize resources</w:t>
            </w:r>
            <w:r>
              <w:rPr>
                <w:rFonts w:cs="Arial"/>
                <w:szCs w:val="22"/>
                <w:highlight w:val="white"/>
              </w:rPr>
              <w:t xml:space="preserve"> </w:t>
            </w:r>
            <w:r w:rsidRPr="00C55528">
              <w:rPr>
                <w:rFonts w:cs="Arial"/>
                <w:szCs w:val="22"/>
                <w:highlight w:val="white"/>
              </w:rPr>
              <w:t>from Member States,</w:t>
            </w:r>
            <w:r>
              <w:rPr>
                <w:rFonts w:cs="Arial"/>
                <w:szCs w:val="22"/>
                <w:highlight w:val="white"/>
              </w:rPr>
              <w:t xml:space="preserve"> </w:t>
            </w:r>
            <w:r w:rsidRPr="00C55528">
              <w:rPr>
                <w:rFonts w:cs="Arial"/>
                <w:szCs w:val="22"/>
                <w:highlight w:val="white"/>
              </w:rPr>
              <w:t>institutional partners and the private sector</w:t>
            </w:r>
          </w:p>
          <w:p w14:paraId="51D53C71" w14:textId="6AEA9B5A" w:rsidR="004D4543" w:rsidRPr="00C55528" w:rsidRDefault="004D4543" w:rsidP="004D4543">
            <w:pPr>
              <w:widowControl w:val="0"/>
              <w:spacing w:after="120"/>
              <w:rPr>
                <w:rFonts w:cs="Arial"/>
                <w:szCs w:val="22"/>
                <w:highlight w:val="white"/>
              </w:rPr>
            </w:pPr>
            <w:r w:rsidRPr="00C55528">
              <w:rPr>
                <w:rFonts w:cs="Arial"/>
                <w:szCs w:val="22"/>
                <w:highlight w:val="white"/>
              </w:rPr>
              <w:t xml:space="preserve">6.2.2. Enhance the impact of donors from public and private by </w:t>
            </w:r>
            <w:r w:rsidR="00086969" w:rsidRPr="00C55528">
              <w:rPr>
                <w:rFonts w:cs="Arial"/>
                <w:szCs w:val="22"/>
                <w:highlight w:val="white"/>
              </w:rPr>
              <w:t>channelling</w:t>
            </w:r>
            <w:r w:rsidRPr="00C55528">
              <w:rPr>
                <w:rFonts w:cs="Arial"/>
                <w:szCs w:val="22"/>
                <w:highlight w:val="white"/>
              </w:rPr>
              <w:t xml:space="preserve"> their contributions towards common goals</w:t>
            </w:r>
          </w:p>
        </w:tc>
      </w:tr>
      <w:tr w:rsidR="004D4543" w:rsidRPr="00C55528" w14:paraId="4ADB967D" w14:textId="77777777" w:rsidTr="004D4543">
        <w:trPr>
          <w:trHeight w:val="2850"/>
        </w:trPr>
        <w:tc>
          <w:tcPr>
            <w:tcW w:w="3270" w:type="dxa"/>
            <w:vMerge w:val="restart"/>
            <w:shd w:val="clear" w:color="auto" w:fill="auto"/>
            <w:tcMar>
              <w:top w:w="100" w:type="dxa"/>
              <w:left w:w="100" w:type="dxa"/>
              <w:bottom w:w="100" w:type="dxa"/>
              <w:right w:w="100" w:type="dxa"/>
            </w:tcMar>
          </w:tcPr>
          <w:p w14:paraId="74D633B3" w14:textId="6E77AB5D" w:rsidR="004D4543" w:rsidRPr="00086969" w:rsidRDefault="004D4543" w:rsidP="00086969">
            <w:pPr>
              <w:widowControl w:val="0"/>
              <w:spacing w:after="120"/>
              <w:rPr>
                <w:rFonts w:cs="Arial"/>
                <w:b/>
                <w:szCs w:val="22"/>
                <w:highlight w:val="white"/>
              </w:rPr>
            </w:pPr>
            <w:r w:rsidRPr="00C55528">
              <w:rPr>
                <w:rFonts w:cs="Arial"/>
                <w:b/>
                <w:szCs w:val="22"/>
                <w:highlight w:val="white"/>
              </w:rPr>
              <w:t>7. Recognized Cultural and Natural Heritage as Pillars of Ocean Literacy</w:t>
            </w:r>
          </w:p>
        </w:tc>
        <w:tc>
          <w:tcPr>
            <w:tcW w:w="3075" w:type="dxa"/>
            <w:shd w:val="clear" w:color="auto" w:fill="auto"/>
            <w:tcMar>
              <w:top w:w="100" w:type="dxa"/>
              <w:left w:w="100" w:type="dxa"/>
              <w:bottom w:w="100" w:type="dxa"/>
              <w:right w:w="100" w:type="dxa"/>
            </w:tcMar>
          </w:tcPr>
          <w:p w14:paraId="630D0A63" w14:textId="4556CAB3" w:rsidR="004D4543" w:rsidRPr="00C55528" w:rsidRDefault="004D4543" w:rsidP="00C55528">
            <w:pPr>
              <w:widowControl w:val="0"/>
              <w:spacing w:after="120"/>
              <w:rPr>
                <w:rFonts w:cs="Arial"/>
                <w:szCs w:val="22"/>
                <w:highlight w:val="white"/>
              </w:rPr>
            </w:pPr>
            <w:r w:rsidRPr="00C55528">
              <w:rPr>
                <w:rFonts w:cs="Arial"/>
                <w:szCs w:val="22"/>
                <w:highlight w:val="white"/>
              </w:rPr>
              <w:t>7.1 Integration of Cultural and Natural Heritage in Ocean Literacy Content</w:t>
            </w:r>
          </w:p>
        </w:tc>
        <w:tc>
          <w:tcPr>
            <w:tcW w:w="3030" w:type="dxa"/>
            <w:shd w:val="clear" w:color="auto" w:fill="auto"/>
            <w:tcMar>
              <w:top w:w="100" w:type="dxa"/>
              <w:left w:w="100" w:type="dxa"/>
              <w:bottom w:w="100" w:type="dxa"/>
              <w:right w:w="100" w:type="dxa"/>
            </w:tcMar>
          </w:tcPr>
          <w:p w14:paraId="065463A4" w14:textId="77777777" w:rsidR="004D4543" w:rsidRPr="00C55528" w:rsidRDefault="004D4543" w:rsidP="00C55528">
            <w:pPr>
              <w:widowControl w:val="0"/>
              <w:spacing w:after="120"/>
              <w:rPr>
                <w:rFonts w:cs="Arial"/>
                <w:szCs w:val="22"/>
                <w:highlight w:val="white"/>
              </w:rPr>
            </w:pPr>
            <w:r w:rsidRPr="00C55528">
              <w:rPr>
                <w:rFonts w:cs="Arial"/>
                <w:szCs w:val="22"/>
                <w:highlight w:val="white"/>
              </w:rPr>
              <w:t>7.1.1 Develop educational resources and storytelling initiatives that highlight historical maritime traditions, seafaring knowledge, and cultural ties to the ocean</w:t>
            </w:r>
          </w:p>
          <w:p w14:paraId="52601392" w14:textId="490449CD" w:rsidR="004D4543" w:rsidRPr="00C55528" w:rsidRDefault="004D4543" w:rsidP="00086969">
            <w:pPr>
              <w:widowControl w:val="0"/>
              <w:rPr>
                <w:rFonts w:cs="Arial"/>
                <w:szCs w:val="22"/>
                <w:highlight w:val="white"/>
              </w:rPr>
            </w:pPr>
            <w:r w:rsidRPr="00C55528">
              <w:rPr>
                <w:rFonts w:cs="Arial"/>
                <w:szCs w:val="22"/>
                <w:highlight w:val="white"/>
              </w:rPr>
              <w:t xml:space="preserve">7.1.2 Collaborate with cultural institutions (e.g., museums, heritage sites, archives) to co-create exhibitions, curricula, and </w:t>
            </w:r>
            <w:r w:rsidR="00086969" w:rsidRPr="00C55528">
              <w:rPr>
                <w:rFonts w:cs="Arial"/>
                <w:szCs w:val="22"/>
                <w:highlight w:val="white"/>
              </w:rPr>
              <w:t>outreach programmes that connect heritage to ocean literacy.</w:t>
            </w:r>
          </w:p>
        </w:tc>
      </w:tr>
      <w:tr w:rsidR="004D4543" w:rsidRPr="00C55528" w14:paraId="2A337951" w14:textId="77777777" w:rsidTr="00086969">
        <w:tc>
          <w:tcPr>
            <w:tcW w:w="3270" w:type="dxa"/>
            <w:vMerge/>
            <w:shd w:val="clear" w:color="auto" w:fill="auto"/>
            <w:tcMar>
              <w:top w:w="100" w:type="dxa"/>
              <w:left w:w="100" w:type="dxa"/>
              <w:bottom w:w="100" w:type="dxa"/>
              <w:right w:w="100" w:type="dxa"/>
            </w:tcMar>
          </w:tcPr>
          <w:p w14:paraId="308B6C39"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6FC393F5" w14:textId="44901224" w:rsidR="004D4543" w:rsidRPr="00C55528" w:rsidRDefault="004D4543" w:rsidP="004D4543">
            <w:pPr>
              <w:widowControl w:val="0"/>
              <w:spacing w:after="120"/>
              <w:rPr>
                <w:rFonts w:cs="Arial"/>
                <w:szCs w:val="22"/>
                <w:highlight w:val="white"/>
              </w:rPr>
            </w:pPr>
            <w:r w:rsidRPr="00C55528">
              <w:rPr>
                <w:rFonts w:cs="Arial"/>
                <w:szCs w:val="22"/>
                <w:highlight w:val="white"/>
              </w:rPr>
              <w:t>7.2 Recognition and Protection of Cultural and Natural Marine Heritage Sites</w:t>
            </w:r>
          </w:p>
        </w:tc>
        <w:tc>
          <w:tcPr>
            <w:tcW w:w="3030" w:type="dxa"/>
            <w:shd w:val="clear" w:color="auto" w:fill="auto"/>
            <w:tcMar>
              <w:top w:w="100" w:type="dxa"/>
              <w:left w:w="100" w:type="dxa"/>
              <w:bottom w:w="100" w:type="dxa"/>
              <w:right w:w="100" w:type="dxa"/>
            </w:tcMar>
          </w:tcPr>
          <w:p w14:paraId="1F33D1DE"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7.2.1 Raise awareness of culturally significant marine areas.</w:t>
            </w:r>
          </w:p>
          <w:p w14:paraId="3D100242" w14:textId="63389F64" w:rsidR="004D4543" w:rsidRPr="00C55528" w:rsidRDefault="004D4543" w:rsidP="00086969">
            <w:pPr>
              <w:widowControl w:val="0"/>
              <w:rPr>
                <w:rFonts w:cs="Arial"/>
                <w:szCs w:val="22"/>
                <w:highlight w:val="white"/>
              </w:rPr>
            </w:pPr>
            <w:r w:rsidRPr="00C55528">
              <w:rPr>
                <w:rFonts w:cs="Arial"/>
                <w:szCs w:val="22"/>
                <w:highlight w:val="white"/>
              </w:rPr>
              <w:t>7.2.2 Promote policy dialogues and conservation actions that integrate ocean literacy with safeguarding marine cultural and natural heritage.</w:t>
            </w:r>
          </w:p>
        </w:tc>
      </w:tr>
      <w:tr w:rsidR="004D4543" w:rsidRPr="00C55528" w14:paraId="43E43B42" w14:textId="77777777" w:rsidTr="00086969">
        <w:tc>
          <w:tcPr>
            <w:tcW w:w="3270" w:type="dxa"/>
            <w:vMerge/>
            <w:shd w:val="clear" w:color="auto" w:fill="auto"/>
            <w:tcMar>
              <w:top w:w="100" w:type="dxa"/>
              <w:left w:w="100" w:type="dxa"/>
              <w:bottom w:w="100" w:type="dxa"/>
              <w:right w:w="100" w:type="dxa"/>
            </w:tcMar>
          </w:tcPr>
          <w:p w14:paraId="75E8A5D1"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792E3D48" w14:textId="77777777" w:rsidR="004D4543" w:rsidRDefault="004D4543" w:rsidP="004D4543">
            <w:pPr>
              <w:widowControl w:val="0"/>
              <w:spacing w:after="120"/>
              <w:rPr>
                <w:rFonts w:cs="Arial"/>
                <w:szCs w:val="22"/>
                <w:highlight w:val="white"/>
              </w:rPr>
            </w:pPr>
            <w:r w:rsidRPr="00C55528">
              <w:rPr>
                <w:rFonts w:cs="Arial"/>
                <w:szCs w:val="22"/>
                <w:highlight w:val="white"/>
              </w:rPr>
              <w:t>7.3 Recognition of the importance of Indigenous and Local Knowledge Systems</w:t>
            </w:r>
          </w:p>
        </w:tc>
        <w:tc>
          <w:tcPr>
            <w:tcW w:w="3030" w:type="dxa"/>
            <w:shd w:val="clear" w:color="auto" w:fill="auto"/>
            <w:tcMar>
              <w:top w:w="100" w:type="dxa"/>
              <w:left w:w="100" w:type="dxa"/>
              <w:bottom w:w="100" w:type="dxa"/>
              <w:right w:w="100" w:type="dxa"/>
            </w:tcMar>
          </w:tcPr>
          <w:p w14:paraId="7DF1E4D2"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7.3.1 Ensure respectful representation of Indigenous and local knowledge in formal and informal ocean literacy efforts.</w:t>
            </w:r>
          </w:p>
        </w:tc>
      </w:tr>
      <w:tr w:rsidR="004D4543" w:rsidRPr="00C55528" w14:paraId="55FC2FAE" w14:textId="77777777" w:rsidTr="00086969">
        <w:trPr>
          <w:trHeight w:val="2012"/>
        </w:trPr>
        <w:tc>
          <w:tcPr>
            <w:tcW w:w="3270" w:type="dxa"/>
            <w:vMerge w:val="restart"/>
            <w:shd w:val="clear" w:color="auto" w:fill="auto"/>
            <w:tcMar>
              <w:top w:w="100" w:type="dxa"/>
              <w:left w:w="100" w:type="dxa"/>
              <w:bottom w:w="100" w:type="dxa"/>
              <w:right w:w="100" w:type="dxa"/>
            </w:tcMar>
          </w:tcPr>
          <w:p w14:paraId="65291A11" w14:textId="77777777" w:rsidR="004D4543" w:rsidRPr="00C55528" w:rsidRDefault="004D4543" w:rsidP="00C55528">
            <w:pPr>
              <w:widowControl w:val="0"/>
              <w:spacing w:after="120"/>
              <w:rPr>
                <w:rFonts w:cs="Arial"/>
                <w:b/>
                <w:szCs w:val="22"/>
                <w:highlight w:val="white"/>
              </w:rPr>
            </w:pPr>
            <w:r w:rsidRPr="00C55528">
              <w:rPr>
                <w:rFonts w:cs="Arial"/>
                <w:b/>
                <w:szCs w:val="22"/>
                <w:highlight w:val="white"/>
              </w:rPr>
              <w:lastRenderedPageBreak/>
              <w:t>8. Ocean Literacy Integrated into Policy and Decision-Making</w:t>
            </w:r>
          </w:p>
        </w:tc>
        <w:tc>
          <w:tcPr>
            <w:tcW w:w="3075" w:type="dxa"/>
            <w:shd w:val="clear" w:color="auto" w:fill="auto"/>
            <w:tcMar>
              <w:top w:w="100" w:type="dxa"/>
              <w:left w:w="100" w:type="dxa"/>
              <w:bottom w:w="100" w:type="dxa"/>
              <w:right w:w="100" w:type="dxa"/>
            </w:tcMar>
          </w:tcPr>
          <w:p w14:paraId="66128E2C" w14:textId="6DCB1C8A" w:rsidR="004D4543" w:rsidRPr="00C55528" w:rsidRDefault="004D4543" w:rsidP="00086969">
            <w:pPr>
              <w:widowControl w:val="0"/>
              <w:spacing w:after="120"/>
              <w:ind w:left="8"/>
              <w:rPr>
                <w:rFonts w:cs="Arial"/>
                <w:szCs w:val="22"/>
                <w:highlight w:val="white"/>
              </w:rPr>
            </w:pPr>
            <w:r w:rsidRPr="00C55528">
              <w:rPr>
                <w:rFonts w:cs="Arial"/>
                <w:szCs w:val="22"/>
                <w:highlight w:val="white"/>
              </w:rPr>
              <w:t>8.1 Awareness improvement among policy-makers</w:t>
            </w:r>
          </w:p>
        </w:tc>
        <w:tc>
          <w:tcPr>
            <w:tcW w:w="3030" w:type="dxa"/>
            <w:shd w:val="clear" w:color="auto" w:fill="auto"/>
            <w:tcMar>
              <w:top w:w="100" w:type="dxa"/>
              <w:left w:w="100" w:type="dxa"/>
              <w:bottom w:w="100" w:type="dxa"/>
              <w:right w:w="100" w:type="dxa"/>
            </w:tcMar>
          </w:tcPr>
          <w:p w14:paraId="70E51E4D" w14:textId="77777777" w:rsidR="004D4543" w:rsidRPr="00C55528" w:rsidRDefault="004D4543" w:rsidP="00C55528">
            <w:pPr>
              <w:widowControl w:val="0"/>
              <w:spacing w:after="120"/>
              <w:rPr>
                <w:rFonts w:cs="Arial"/>
                <w:szCs w:val="22"/>
                <w:highlight w:val="white"/>
              </w:rPr>
            </w:pPr>
            <w:r w:rsidRPr="00C55528">
              <w:rPr>
                <w:rFonts w:cs="Arial"/>
                <w:szCs w:val="22"/>
                <w:highlight w:val="white"/>
              </w:rPr>
              <w:t>8.1.1 Create opportunities for interaction with policymakers at different levels</w:t>
            </w:r>
          </w:p>
          <w:p w14:paraId="3E5ECD71" w14:textId="2412C55B" w:rsidR="004D4543" w:rsidRPr="00086969" w:rsidRDefault="004D4543" w:rsidP="00086969">
            <w:pPr>
              <w:widowControl w:val="0"/>
              <w:rPr>
                <w:rFonts w:cs="Arial"/>
                <w:szCs w:val="22"/>
                <w:highlight w:val="white"/>
              </w:rPr>
            </w:pPr>
            <w:r w:rsidRPr="00C55528">
              <w:rPr>
                <w:rFonts w:cs="Arial"/>
                <w:szCs w:val="22"/>
                <w:highlight w:val="white"/>
              </w:rPr>
              <w:t>8.1.2 Enhance awareness through ad hoc materials and opportunities designed for policymakers</w:t>
            </w:r>
          </w:p>
        </w:tc>
      </w:tr>
      <w:tr w:rsidR="004D4543" w:rsidRPr="00C55528" w14:paraId="77C59665" w14:textId="77777777" w:rsidTr="00387911">
        <w:trPr>
          <w:trHeight w:val="1510"/>
        </w:trPr>
        <w:tc>
          <w:tcPr>
            <w:tcW w:w="3270" w:type="dxa"/>
            <w:vMerge/>
            <w:shd w:val="clear" w:color="auto" w:fill="auto"/>
            <w:tcMar>
              <w:top w:w="100" w:type="dxa"/>
              <w:left w:w="100" w:type="dxa"/>
              <w:bottom w:w="100" w:type="dxa"/>
              <w:right w:w="100" w:type="dxa"/>
            </w:tcMar>
          </w:tcPr>
          <w:p w14:paraId="411A8C67" w14:textId="77777777" w:rsidR="004D4543" w:rsidRPr="00C55528" w:rsidRDefault="004D4543" w:rsidP="00C55528">
            <w:pPr>
              <w:widowControl w:val="0"/>
              <w:spacing w:after="120"/>
              <w:rPr>
                <w:rFonts w:cs="Arial"/>
                <w:b/>
                <w:szCs w:val="22"/>
                <w:highlight w:val="white"/>
              </w:rPr>
            </w:pPr>
          </w:p>
        </w:tc>
        <w:tc>
          <w:tcPr>
            <w:tcW w:w="3075" w:type="dxa"/>
            <w:shd w:val="clear" w:color="auto" w:fill="auto"/>
            <w:tcMar>
              <w:top w:w="100" w:type="dxa"/>
              <w:left w:w="100" w:type="dxa"/>
              <w:bottom w:w="100" w:type="dxa"/>
              <w:right w:w="100" w:type="dxa"/>
            </w:tcMar>
          </w:tcPr>
          <w:p w14:paraId="32892DCD"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8.2 Cross-sectoral governance</w:t>
            </w:r>
          </w:p>
        </w:tc>
        <w:tc>
          <w:tcPr>
            <w:tcW w:w="3030" w:type="dxa"/>
            <w:shd w:val="clear" w:color="auto" w:fill="auto"/>
            <w:tcMar>
              <w:top w:w="100" w:type="dxa"/>
              <w:left w:w="100" w:type="dxa"/>
              <w:bottom w:w="100" w:type="dxa"/>
              <w:right w:w="100" w:type="dxa"/>
            </w:tcMar>
          </w:tcPr>
          <w:p w14:paraId="5847A511"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8.2.1 Embed ocean literacy principles into national and regional marine policies, blue economy strategies, and climate adaptation frameworks</w:t>
            </w:r>
          </w:p>
          <w:p w14:paraId="4F9460D4" w14:textId="77777777" w:rsidR="004D4543" w:rsidRPr="00C55528" w:rsidRDefault="004D4543" w:rsidP="004D4543">
            <w:pPr>
              <w:widowControl w:val="0"/>
              <w:spacing w:after="120"/>
              <w:rPr>
                <w:rFonts w:cs="Arial"/>
                <w:szCs w:val="22"/>
                <w:highlight w:val="white"/>
              </w:rPr>
            </w:pPr>
            <w:r w:rsidRPr="00C55528">
              <w:rPr>
                <w:rFonts w:cs="Arial"/>
                <w:szCs w:val="22"/>
                <w:highlight w:val="white"/>
              </w:rPr>
              <w:t>8.2.2 Encourage cross-sectoral governance approaches that prioritize ocean literacy as a tool for sustainable ocean management</w:t>
            </w:r>
          </w:p>
          <w:p w14:paraId="53AEE64A" w14:textId="77777777" w:rsidR="004D4543" w:rsidRPr="00C55528" w:rsidRDefault="004D4543" w:rsidP="00086969">
            <w:pPr>
              <w:widowControl w:val="0"/>
              <w:rPr>
                <w:rFonts w:cs="Arial"/>
                <w:szCs w:val="22"/>
                <w:highlight w:val="white"/>
              </w:rPr>
            </w:pPr>
            <w:r w:rsidRPr="00C55528">
              <w:rPr>
                <w:rFonts w:cs="Arial"/>
                <w:szCs w:val="22"/>
              </w:rPr>
              <w:t>8.2.3 Leverage youth perspective in decision-making processes</w:t>
            </w:r>
          </w:p>
        </w:tc>
      </w:tr>
      <w:tr w:rsidR="00086969" w:rsidRPr="00C55528" w14:paraId="3D5E73F1" w14:textId="77777777" w:rsidTr="00086969">
        <w:tc>
          <w:tcPr>
            <w:tcW w:w="3270" w:type="dxa"/>
            <w:vMerge w:val="restart"/>
            <w:shd w:val="clear" w:color="auto" w:fill="auto"/>
            <w:tcMar>
              <w:top w:w="100" w:type="dxa"/>
              <w:left w:w="100" w:type="dxa"/>
              <w:bottom w:w="100" w:type="dxa"/>
              <w:right w:w="100" w:type="dxa"/>
            </w:tcMar>
          </w:tcPr>
          <w:p w14:paraId="46BE18ED" w14:textId="77777777" w:rsidR="00086969" w:rsidRPr="00C55528" w:rsidRDefault="00086969" w:rsidP="00086969">
            <w:pPr>
              <w:widowControl w:val="0"/>
              <w:spacing w:after="120"/>
              <w:ind w:left="338" w:hanging="360"/>
              <w:rPr>
                <w:rFonts w:cs="Arial"/>
                <w:b/>
                <w:szCs w:val="22"/>
                <w:highlight w:val="white"/>
              </w:rPr>
            </w:pPr>
            <w:r w:rsidRPr="00C55528">
              <w:rPr>
                <w:rFonts w:cs="Arial"/>
                <w:b/>
                <w:szCs w:val="22"/>
                <w:highlight w:val="white"/>
              </w:rPr>
              <w:t>9. Public Awareness and Digital Engagement Enhanced</w:t>
            </w:r>
          </w:p>
        </w:tc>
        <w:tc>
          <w:tcPr>
            <w:tcW w:w="3075" w:type="dxa"/>
            <w:shd w:val="clear" w:color="auto" w:fill="auto"/>
            <w:tcMar>
              <w:top w:w="100" w:type="dxa"/>
              <w:left w:w="100" w:type="dxa"/>
              <w:bottom w:w="100" w:type="dxa"/>
              <w:right w:w="100" w:type="dxa"/>
            </w:tcMar>
          </w:tcPr>
          <w:p w14:paraId="751083C7" w14:textId="16451718" w:rsidR="00086969" w:rsidRPr="00C55528" w:rsidRDefault="00086969" w:rsidP="00086969">
            <w:pPr>
              <w:widowControl w:val="0"/>
              <w:spacing w:after="120"/>
              <w:ind w:left="386" w:hanging="360"/>
              <w:rPr>
                <w:rFonts w:cs="Arial"/>
                <w:szCs w:val="22"/>
                <w:highlight w:val="white"/>
              </w:rPr>
            </w:pPr>
            <w:r w:rsidRPr="00C55528">
              <w:rPr>
                <w:rFonts w:cs="Arial"/>
                <w:szCs w:val="22"/>
                <w:highlight w:val="white"/>
              </w:rPr>
              <w:t>9.1 Media visibility</w:t>
            </w:r>
          </w:p>
        </w:tc>
        <w:tc>
          <w:tcPr>
            <w:tcW w:w="3030" w:type="dxa"/>
            <w:shd w:val="clear" w:color="auto" w:fill="auto"/>
            <w:tcMar>
              <w:top w:w="100" w:type="dxa"/>
              <w:left w:w="100" w:type="dxa"/>
              <w:bottom w:w="100" w:type="dxa"/>
              <w:right w:w="100" w:type="dxa"/>
            </w:tcMar>
          </w:tcPr>
          <w:p w14:paraId="159C672D" w14:textId="77777777" w:rsidR="00086969" w:rsidRPr="00C55528" w:rsidRDefault="00086969" w:rsidP="00C55528">
            <w:pPr>
              <w:widowControl w:val="0"/>
              <w:spacing w:after="120"/>
              <w:rPr>
                <w:rFonts w:cs="Arial"/>
                <w:szCs w:val="22"/>
                <w:highlight w:val="white"/>
              </w:rPr>
            </w:pPr>
            <w:r w:rsidRPr="00C55528">
              <w:rPr>
                <w:rFonts w:cs="Arial"/>
                <w:szCs w:val="22"/>
                <w:highlight w:val="white"/>
              </w:rPr>
              <w:t>9.1.1 Strengthen collaboration with traditional media outlets and online content creators to amplify OL, including through newspapers, magazines, social media, podcasts and interactive storytelling</w:t>
            </w:r>
          </w:p>
          <w:p w14:paraId="2C2EE2D2" w14:textId="77777777" w:rsidR="00086969" w:rsidRPr="00C55528" w:rsidRDefault="00086969" w:rsidP="00C55528">
            <w:pPr>
              <w:widowControl w:val="0"/>
              <w:spacing w:after="120"/>
              <w:rPr>
                <w:rFonts w:cs="Arial"/>
                <w:szCs w:val="22"/>
              </w:rPr>
            </w:pPr>
            <w:r w:rsidRPr="00C55528">
              <w:rPr>
                <w:rFonts w:cs="Arial"/>
                <w:szCs w:val="22"/>
              </w:rPr>
              <w:t>9.1.2 Enhance collaboration with young ocean advocates to transform them into amplifiers of Ocean Literacy</w:t>
            </w:r>
          </w:p>
          <w:p w14:paraId="7615CCCB" w14:textId="3302CE5C" w:rsidR="00086969" w:rsidRPr="00C55528" w:rsidRDefault="00086969" w:rsidP="00086969">
            <w:pPr>
              <w:widowControl w:val="0"/>
              <w:rPr>
                <w:rFonts w:cs="Arial"/>
                <w:szCs w:val="22"/>
                <w:highlight w:val="white"/>
              </w:rPr>
            </w:pPr>
            <w:r w:rsidRPr="00C55528">
              <w:rPr>
                <w:rFonts w:cs="Arial"/>
                <w:szCs w:val="22"/>
                <w:highlight w:val="white"/>
              </w:rPr>
              <w:t>9.2.1 Conduct campaigns and public outreach program</w:t>
            </w:r>
            <w:r>
              <w:rPr>
                <w:rFonts w:cs="Arial"/>
                <w:szCs w:val="22"/>
                <w:highlight w:val="white"/>
              </w:rPr>
              <w:t>me</w:t>
            </w:r>
            <w:r w:rsidRPr="00C55528">
              <w:rPr>
                <w:rFonts w:cs="Arial"/>
                <w:szCs w:val="22"/>
                <w:highlight w:val="white"/>
              </w:rPr>
              <w:t>s designed to engage broader audiences in O</w:t>
            </w:r>
            <w:r>
              <w:rPr>
                <w:rFonts w:cs="Arial"/>
                <w:szCs w:val="22"/>
                <w:highlight w:val="white"/>
              </w:rPr>
              <w:t xml:space="preserve">cean </w:t>
            </w:r>
            <w:r w:rsidRPr="00C55528">
              <w:rPr>
                <w:rFonts w:cs="Arial"/>
                <w:szCs w:val="22"/>
                <w:highlight w:val="white"/>
              </w:rPr>
              <w:t>L</w:t>
            </w:r>
            <w:r>
              <w:rPr>
                <w:rFonts w:cs="Arial"/>
                <w:szCs w:val="22"/>
                <w:highlight w:val="white"/>
              </w:rPr>
              <w:t>iteracy</w:t>
            </w:r>
          </w:p>
        </w:tc>
      </w:tr>
      <w:tr w:rsidR="00086969" w:rsidRPr="00C55528" w14:paraId="3796113A" w14:textId="77777777" w:rsidTr="00086969">
        <w:tc>
          <w:tcPr>
            <w:tcW w:w="3270" w:type="dxa"/>
            <w:vMerge/>
            <w:shd w:val="clear" w:color="auto" w:fill="auto"/>
            <w:tcMar>
              <w:top w:w="100" w:type="dxa"/>
              <w:left w:w="100" w:type="dxa"/>
              <w:bottom w:w="100" w:type="dxa"/>
              <w:right w:w="100" w:type="dxa"/>
            </w:tcMar>
          </w:tcPr>
          <w:p w14:paraId="5E49ADD2" w14:textId="77777777" w:rsidR="00086969" w:rsidRPr="00C55528" w:rsidRDefault="00086969" w:rsidP="00086969">
            <w:pPr>
              <w:widowControl w:val="0"/>
              <w:spacing w:after="120"/>
              <w:ind w:left="338" w:hanging="360"/>
              <w:rPr>
                <w:rFonts w:cs="Arial"/>
                <w:b/>
                <w:szCs w:val="22"/>
                <w:highlight w:val="white"/>
              </w:rPr>
            </w:pPr>
          </w:p>
        </w:tc>
        <w:tc>
          <w:tcPr>
            <w:tcW w:w="3075" w:type="dxa"/>
            <w:shd w:val="clear" w:color="auto" w:fill="auto"/>
            <w:tcMar>
              <w:top w:w="100" w:type="dxa"/>
              <w:left w:w="100" w:type="dxa"/>
              <w:bottom w:w="100" w:type="dxa"/>
              <w:right w:w="100" w:type="dxa"/>
            </w:tcMar>
          </w:tcPr>
          <w:p w14:paraId="4B9E346B" w14:textId="3B600B1C" w:rsidR="00086969" w:rsidRPr="00C55528" w:rsidRDefault="00086969" w:rsidP="00086969">
            <w:pPr>
              <w:widowControl w:val="0"/>
              <w:spacing w:after="120"/>
              <w:ind w:left="386" w:hanging="360"/>
              <w:rPr>
                <w:rFonts w:cs="Arial"/>
                <w:szCs w:val="22"/>
                <w:highlight w:val="white"/>
              </w:rPr>
            </w:pPr>
            <w:r w:rsidRPr="00C55528">
              <w:rPr>
                <w:rFonts w:cs="Arial"/>
                <w:szCs w:val="22"/>
                <w:highlight w:val="white"/>
              </w:rPr>
              <w:t>9.2 Digital outreach</w:t>
            </w:r>
          </w:p>
        </w:tc>
        <w:tc>
          <w:tcPr>
            <w:tcW w:w="3030" w:type="dxa"/>
            <w:shd w:val="clear" w:color="auto" w:fill="auto"/>
            <w:tcMar>
              <w:top w:w="100" w:type="dxa"/>
              <w:left w:w="100" w:type="dxa"/>
              <w:bottom w:w="100" w:type="dxa"/>
              <w:right w:w="100" w:type="dxa"/>
            </w:tcMar>
          </w:tcPr>
          <w:p w14:paraId="0F4DD2A1" w14:textId="610304F8" w:rsidR="00086969" w:rsidRPr="00C55528" w:rsidRDefault="00086969" w:rsidP="00086969">
            <w:pPr>
              <w:widowControl w:val="0"/>
              <w:rPr>
                <w:rFonts w:cs="Arial"/>
                <w:szCs w:val="22"/>
                <w:highlight w:val="white"/>
              </w:rPr>
            </w:pPr>
            <w:r w:rsidRPr="00C55528">
              <w:rPr>
                <w:rFonts w:cs="Arial"/>
                <w:szCs w:val="22"/>
                <w:highlight w:val="white"/>
              </w:rPr>
              <w:t>9.2.2 Utilize emerging technologies such as VR and data visualization tools to create impactful and immersive storytelling that renders ocean science more accessible and compelling</w:t>
            </w:r>
            <w:r w:rsidR="00BC7416">
              <w:rPr>
                <w:rFonts w:cs="Arial"/>
                <w:szCs w:val="22"/>
                <w:highlight w:val="white"/>
              </w:rPr>
              <w:t>.</w:t>
            </w:r>
          </w:p>
        </w:tc>
      </w:tr>
    </w:tbl>
    <w:p w14:paraId="47DE08CB" w14:textId="77777777" w:rsidR="00C55528" w:rsidRPr="00C55528" w:rsidRDefault="00C55528" w:rsidP="00086969">
      <w:pPr>
        <w:pStyle w:val="ListParagraph"/>
        <w:snapToGrid w:val="0"/>
        <w:spacing w:before="240" w:after="240"/>
        <w:ind w:left="0"/>
        <w:contextualSpacing w:val="0"/>
        <w:rPr>
          <w:rFonts w:ascii="Arial" w:hAnsi="Arial" w:cs="Arial"/>
          <w:sz w:val="22"/>
          <w:szCs w:val="22"/>
        </w:rPr>
      </w:pPr>
    </w:p>
    <w:sectPr w:rsidR="00C55528" w:rsidRPr="00C55528" w:rsidSect="003F7186">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F827" w14:textId="77777777" w:rsidR="003A1612" w:rsidRDefault="003A1612">
      <w:r>
        <w:separator/>
      </w:r>
    </w:p>
  </w:endnote>
  <w:endnote w:type="continuationSeparator" w:id="0">
    <w:p w14:paraId="6BEB3081" w14:textId="77777777" w:rsidR="003A1612" w:rsidRDefault="003A1612">
      <w:r>
        <w:continuationSeparator/>
      </w:r>
    </w:p>
  </w:endnote>
  <w:endnote w:type="continuationNotice" w:id="1">
    <w:p w14:paraId="703A3248" w14:textId="77777777" w:rsidR="003A1612" w:rsidRDefault="003A1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3AFC1" w14:textId="77777777" w:rsidR="003A1612" w:rsidRDefault="003A1612">
      <w:r>
        <w:separator/>
      </w:r>
    </w:p>
  </w:footnote>
  <w:footnote w:type="continuationSeparator" w:id="0">
    <w:p w14:paraId="38316D0D" w14:textId="77777777" w:rsidR="003A1612" w:rsidRDefault="003A1612">
      <w:r>
        <w:continuationSeparator/>
      </w:r>
    </w:p>
  </w:footnote>
  <w:footnote w:type="continuationNotice" w:id="1">
    <w:p w14:paraId="0D913F56" w14:textId="77777777" w:rsidR="003A1612" w:rsidRDefault="003A1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19C4" w14:textId="77777777" w:rsidR="00441140" w:rsidRPr="00C962F0" w:rsidRDefault="00441140">
    <w:pPr>
      <w:pStyle w:val="Header"/>
      <w:rPr>
        <w:szCs w:val="22"/>
      </w:rPr>
    </w:pPr>
    <w:r w:rsidRPr="00C962F0">
      <w:rPr>
        <w:szCs w:val="22"/>
      </w:rPr>
      <w:t>ICG/CARIBE-EWS II/WD </w:t>
    </w:r>
    <w:r w:rsidRPr="00C962F0">
      <w:rPr>
        <w:szCs w:val="22"/>
        <w:highlight w:val="cyan"/>
      </w:rPr>
      <w:t>__</w:t>
    </w:r>
  </w:p>
  <w:p w14:paraId="6A24548F" w14:textId="77777777" w:rsidR="00441140" w:rsidRPr="00C962F0" w:rsidRDefault="0044114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D62A" w14:textId="77777777" w:rsidR="00441140" w:rsidRPr="00746B89" w:rsidRDefault="00441140" w:rsidP="00DF2FB9">
    <w:pPr>
      <w:pStyle w:val="Header"/>
      <w:tabs>
        <w:tab w:val="clear" w:pos="8306"/>
      </w:tabs>
      <w:rPr>
        <w:szCs w:val="22"/>
      </w:rPr>
    </w:pPr>
    <w:r w:rsidRPr="00746B89">
      <w:rPr>
        <w:szCs w:val="22"/>
      </w:rPr>
      <w:t xml:space="preserve">IOC-XXIV/2 Annex </w:t>
    </w:r>
    <w:r w:rsidRPr="00746B89">
      <w:rPr>
        <w:szCs w:val="22"/>
        <w:highlight w:val="yellow"/>
      </w:rPr>
      <w:t>__</w:t>
    </w:r>
  </w:p>
  <w:p w14:paraId="70AB0676" w14:textId="77777777" w:rsidR="00441140" w:rsidRPr="00746B89" w:rsidRDefault="00441140"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6C23CAB6"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D51F" w14:textId="677DC019" w:rsidR="00C12E5A" w:rsidRPr="007C710A" w:rsidRDefault="00C12E5A" w:rsidP="00AA2CD5">
    <w:pPr>
      <w:pStyle w:val="Marge"/>
      <w:tabs>
        <w:tab w:val="left" w:pos="6096"/>
        <w:tab w:val="left" w:pos="7560"/>
      </w:tabs>
      <w:spacing w:after="0"/>
      <w:rPr>
        <w:rFonts w:cs="Arial"/>
        <w:b/>
        <w:szCs w:val="22"/>
      </w:rPr>
    </w:pPr>
    <w:r w:rsidRPr="007C710A">
      <w:rPr>
        <w:rFonts w:cs="Arial"/>
        <w:szCs w:val="22"/>
      </w:rPr>
      <w:t>Restricted Distribution</w:t>
    </w:r>
    <w:r w:rsidRPr="007C710A">
      <w:rPr>
        <w:rFonts w:cs="Arial"/>
        <w:szCs w:val="22"/>
      </w:rPr>
      <w:tab/>
    </w:r>
    <w:r w:rsidR="006B7489" w:rsidRPr="006B7489">
      <w:rPr>
        <w:rFonts w:cs="Arial"/>
        <w:b/>
        <w:sz w:val="36"/>
        <w:szCs w:val="36"/>
      </w:rPr>
      <w:t>IOC/A-33/4.4.Doc(1)</w:t>
    </w:r>
  </w:p>
  <w:p w14:paraId="403ABF5B" w14:textId="44AF88F1" w:rsidR="00C12E5A" w:rsidRPr="002D5222" w:rsidRDefault="00C12E5A" w:rsidP="00AA2CD5">
    <w:pPr>
      <w:tabs>
        <w:tab w:val="left" w:pos="6096"/>
        <w:tab w:val="left" w:pos="7560"/>
      </w:tabs>
      <w:jc w:val="both"/>
      <w:rPr>
        <w:rFonts w:asciiTheme="minorBidi" w:hAnsiTheme="minorBidi"/>
      </w:rPr>
    </w:pPr>
    <w:r>
      <w:rPr>
        <w:noProof/>
      </w:rPr>
      <w:drawing>
        <wp:anchor distT="0" distB="0" distL="114300" distR="114300" simplePos="0" relativeHeight="251678720" behindDoc="0" locked="0" layoutInCell="1" allowOverlap="1" wp14:anchorId="68D4C686" wp14:editId="00519DD6">
          <wp:simplePos x="0" y="0"/>
          <wp:positionH relativeFrom="column">
            <wp:posOffset>-96875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rFonts w:cs="Arial"/>
        <w:b/>
      </w:rPr>
      <w:tab/>
    </w:r>
    <w:r w:rsidRPr="002D5222">
      <w:rPr>
        <w:rFonts w:asciiTheme="minorBidi" w:hAnsiTheme="minorBidi"/>
      </w:rPr>
      <w:t xml:space="preserve">Paris, </w:t>
    </w:r>
    <w:r w:rsidR="006B7489">
      <w:rPr>
        <w:rFonts w:asciiTheme="minorBidi" w:hAnsiTheme="minorBidi"/>
      </w:rPr>
      <w:t>2</w:t>
    </w:r>
    <w:r w:rsidR="00AD7234">
      <w:rPr>
        <w:rFonts w:asciiTheme="minorBidi" w:hAnsiTheme="minorBidi"/>
      </w:rPr>
      <w:t>4</w:t>
    </w:r>
    <w:r w:rsidR="00DE4579">
      <w:rPr>
        <w:rFonts w:asciiTheme="minorBidi" w:hAnsiTheme="minorBidi"/>
      </w:rPr>
      <w:t xml:space="preserve"> April</w:t>
    </w:r>
    <w:r w:rsidRPr="002D5222">
      <w:rPr>
        <w:rFonts w:asciiTheme="minorBidi" w:hAnsiTheme="minorBidi"/>
      </w:rPr>
      <w:t xml:space="preserve"> 202</w:t>
    </w:r>
    <w:r w:rsidR="00DE4579">
      <w:rPr>
        <w:rFonts w:asciiTheme="minorBidi" w:hAnsiTheme="minorBidi"/>
      </w:rPr>
      <w:t>5</w:t>
    </w:r>
  </w:p>
  <w:p w14:paraId="28CBEFA2" w14:textId="77777777" w:rsidR="00C12E5A" w:rsidRPr="002D5222" w:rsidRDefault="00C12E5A" w:rsidP="00AA2CD5">
    <w:pPr>
      <w:tabs>
        <w:tab w:val="left" w:pos="6096"/>
        <w:tab w:val="left" w:pos="7560"/>
      </w:tabs>
      <w:jc w:val="both"/>
      <w:rPr>
        <w:rFonts w:asciiTheme="minorBidi" w:hAnsiTheme="minorBidi"/>
      </w:rPr>
    </w:pPr>
    <w:r w:rsidRPr="002D5222">
      <w:rPr>
        <w:rFonts w:asciiTheme="minorBidi" w:hAnsiTheme="minorBidi"/>
        <w:b/>
      </w:rPr>
      <w:tab/>
    </w:r>
    <w:r w:rsidRPr="002D5222">
      <w:rPr>
        <w:rFonts w:asciiTheme="minorBidi" w:hAnsiTheme="minorBidi"/>
      </w:rPr>
      <w:t>Original: English</w:t>
    </w:r>
  </w:p>
  <w:p w14:paraId="32B4F112" w14:textId="77777777" w:rsidR="00C12E5A" w:rsidRPr="002D5222" w:rsidRDefault="00C12E5A" w:rsidP="00AA2CD5">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6096"/>
        <w:tab w:val="left" w:pos="7020"/>
        <w:tab w:val="left" w:pos="7088"/>
      </w:tabs>
      <w:jc w:val="both"/>
      <w:rPr>
        <w:rFonts w:asciiTheme="minorBidi" w:hAnsiTheme="minorBidi"/>
        <w:b/>
      </w:rPr>
    </w:pPr>
  </w:p>
  <w:p w14:paraId="6291037F"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704015AC" w14:textId="77777777" w:rsidR="00C12E5A"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32EBCD58" w14:textId="77777777" w:rsidR="00C12E5A"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FB8D5E3" w14:textId="77777777" w:rsidR="00C12E5A"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0B06903"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658C4EF5"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52BE075C"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sidRPr="002D5222">
      <w:rPr>
        <w:rFonts w:asciiTheme="minorBidi" w:hAnsiTheme="minorBidi"/>
        <w:b/>
      </w:rPr>
      <w:t>INTERGOVERNMENTAL OCEANOGRAPHIC COMMISSION</w:t>
    </w:r>
  </w:p>
  <w:p w14:paraId="5F2D4603"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rPr>
    </w:pPr>
    <w:r w:rsidRPr="002D5222">
      <w:rPr>
        <w:rFonts w:asciiTheme="minorBidi" w:hAnsiTheme="minorBidi"/>
        <w:bCs/>
      </w:rPr>
      <w:t>(of UNESCO)</w:t>
    </w:r>
  </w:p>
  <w:p w14:paraId="66E3C903" w14:textId="77777777" w:rsidR="00C12E5A" w:rsidRPr="002D5222" w:rsidRDefault="00C12E5A" w:rsidP="00C12E5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4BA375D2" w14:textId="3BCA84F4" w:rsidR="00C12E5A" w:rsidRPr="002D5222" w:rsidRDefault="00C12E5A" w:rsidP="00C12E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sidRPr="002D5222">
      <w:rPr>
        <w:rFonts w:asciiTheme="minorBidi" w:hAnsiTheme="minorBidi"/>
        <w:b/>
      </w:rPr>
      <w:t>Thirty-</w:t>
    </w:r>
    <w:r w:rsidR="00DE4579">
      <w:rPr>
        <w:rFonts w:asciiTheme="minorBidi" w:hAnsiTheme="minorBidi"/>
        <w:b/>
      </w:rPr>
      <w:t>third</w:t>
    </w:r>
    <w:r w:rsidRPr="002D5222">
      <w:rPr>
        <w:rFonts w:asciiTheme="minorBidi" w:hAnsiTheme="minorBidi"/>
        <w:b/>
      </w:rPr>
      <w:t xml:space="preserve"> Session of the Assembly</w:t>
    </w:r>
  </w:p>
  <w:p w14:paraId="58EBCB2F" w14:textId="18A6D34D" w:rsidR="00C12E5A" w:rsidRPr="002D5222" w:rsidRDefault="00C12E5A" w:rsidP="00C12E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sidRPr="002D5222">
      <w:rPr>
        <w:rFonts w:asciiTheme="minorBidi" w:hAnsiTheme="minorBidi"/>
      </w:rPr>
      <w:t>UNESCO, 2</w:t>
    </w:r>
    <w:r w:rsidR="00DE4579">
      <w:rPr>
        <w:rFonts w:asciiTheme="minorBidi" w:hAnsiTheme="minorBidi"/>
      </w:rPr>
      <w:t>5 June</w:t>
    </w:r>
    <w:r w:rsidR="006B7489">
      <w:rPr>
        <w:rFonts w:asciiTheme="minorBidi" w:hAnsiTheme="minorBidi"/>
      </w:rPr>
      <w:t xml:space="preserve"> </w:t>
    </w:r>
    <w:r w:rsidRPr="002D5222">
      <w:rPr>
        <w:rFonts w:asciiTheme="minorBidi" w:hAnsiTheme="minorBidi"/>
      </w:rPr>
      <w:t>–</w:t>
    </w:r>
    <w:r w:rsidR="006B7489">
      <w:rPr>
        <w:rFonts w:asciiTheme="minorBidi" w:hAnsiTheme="minorBidi"/>
      </w:rPr>
      <w:t xml:space="preserve"> </w:t>
    </w:r>
    <w:r w:rsidRPr="002D5222">
      <w:rPr>
        <w:rFonts w:asciiTheme="minorBidi" w:hAnsiTheme="minorBidi"/>
      </w:rPr>
      <w:t>3 Ju</w:t>
    </w:r>
    <w:r w:rsidR="00DE4579">
      <w:rPr>
        <w:rFonts w:asciiTheme="minorBidi" w:hAnsiTheme="minorBidi"/>
      </w:rPr>
      <w:t xml:space="preserve">ly </w:t>
    </w:r>
    <w:r w:rsidRPr="002D5222">
      <w:rPr>
        <w:rFonts w:asciiTheme="minorBidi" w:hAnsiTheme="minorBidi"/>
      </w:rPr>
      <w:t>202</w:t>
    </w:r>
    <w:r w:rsidR="00DE4579">
      <w:rPr>
        <w:rFonts w:asciiTheme="minorBidi" w:hAnsiTheme="minorBidi"/>
      </w:rPr>
      <w:t>5</w:t>
    </w:r>
  </w:p>
  <w:p w14:paraId="68DEB85E" w14:textId="77777777" w:rsidR="00C12E5A"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rPr>
    </w:pPr>
  </w:p>
  <w:p w14:paraId="4B804AF5" w14:textId="77777777" w:rsidR="00C12E5A"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rPr>
    </w:pPr>
  </w:p>
  <w:p w14:paraId="56DFEACC" w14:textId="77777777" w:rsidR="00C12E5A" w:rsidRPr="002D5222"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rPr>
    </w:pPr>
  </w:p>
  <w:p w14:paraId="4353D660" w14:textId="77777777" w:rsidR="00C12E5A" w:rsidRPr="002D5222" w:rsidRDefault="00C12E5A" w:rsidP="00C12E5A">
    <w:pPr>
      <w:jc w:val="center"/>
      <w:rPr>
        <w:rFonts w:asciiTheme="minorBidi" w:hAnsiTheme="minorBidi"/>
      </w:rPr>
    </w:pPr>
  </w:p>
  <w:p w14:paraId="0253EDC1" w14:textId="77777777" w:rsidR="00C12E5A" w:rsidRPr="002D5222" w:rsidRDefault="00C12E5A" w:rsidP="00C12E5A">
    <w:pPr>
      <w:jc w:val="center"/>
      <w:rPr>
        <w:rFonts w:asciiTheme="minorBidi" w:hAnsiTheme="minorBidi"/>
      </w:rPr>
    </w:pPr>
  </w:p>
  <w:p w14:paraId="53E488E5" w14:textId="77777777" w:rsidR="000156E0" w:rsidRPr="005E544C" w:rsidRDefault="000156E0" w:rsidP="000156E0">
    <w:pPr>
      <w:jc w:val="center"/>
      <w:rPr>
        <w:rFonts w:cs="Arial"/>
        <w:szCs w:val="22"/>
      </w:rPr>
    </w:pPr>
  </w:p>
  <w:p w14:paraId="0164A3F9" w14:textId="724115FF" w:rsidR="000156E0" w:rsidRPr="00AA2CD5" w:rsidRDefault="000156E0" w:rsidP="00AD7234">
    <w:pPr>
      <w:pStyle w:val="Heading7"/>
      <w:tabs>
        <w:tab w:val="left" w:pos="5920"/>
      </w:tabs>
      <w:spacing w:line="240" w:lineRule="auto"/>
      <w:rPr>
        <w:rFonts w:cs="Arial"/>
        <w:sz w:val="24"/>
      </w:rPr>
    </w:pPr>
    <w:r w:rsidRPr="00AA2CD5">
      <w:rPr>
        <w:rFonts w:cs="Arial"/>
        <w:sz w:val="24"/>
      </w:rPr>
      <w:t xml:space="preserve">Item </w:t>
    </w:r>
    <w:r w:rsidR="006B7489">
      <w:rPr>
        <w:rFonts w:cs="Arial"/>
        <w:b/>
        <w:sz w:val="24"/>
      </w:rPr>
      <w:t>4.4</w:t>
    </w:r>
    <w:r w:rsidRPr="00AA2CD5">
      <w:rPr>
        <w:rFonts w:cs="Arial"/>
        <w:sz w:val="24"/>
      </w:rPr>
      <w:t xml:space="preserve"> of the</w:t>
    </w:r>
    <w:r w:rsidR="00C05769" w:rsidRPr="00AA2CD5">
      <w:rPr>
        <w:rFonts w:cs="Arial"/>
        <w:sz w:val="24"/>
      </w:rPr>
      <w:t xml:space="preserve"> </w:t>
    </w:r>
    <w:r w:rsidRPr="00AA2CD5">
      <w:rPr>
        <w:rFonts w:cs="Arial"/>
        <w:sz w:val="24"/>
      </w:rPr>
      <w:t>Provisional Agenda</w:t>
    </w:r>
  </w:p>
  <w:p w14:paraId="0CF3255B" w14:textId="77777777" w:rsidR="000156E0" w:rsidRPr="005E544C" w:rsidRDefault="000156E0" w:rsidP="000156E0">
    <w:pPr>
      <w:rPr>
        <w:rFonts w:cs="Arial"/>
        <w:szCs w:val="22"/>
      </w:rPr>
    </w:pPr>
  </w:p>
  <w:p w14:paraId="1E581F27" w14:textId="77777777" w:rsidR="00441140" w:rsidRPr="005E544C" w:rsidRDefault="00441140" w:rsidP="00DF2FB9">
    <w:pPr>
      <w:rPr>
        <w:rFonts w:cs="Arial"/>
        <w:szCs w:val="22"/>
      </w:rPr>
    </w:pPr>
  </w:p>
  <w:p w14:paraId="35AFDEFB" w14:textId="2BE5E9A9" w:rsidR="00441140" w:rsidRPr="001370E4" w:rsidRDefault="00AC32C8" w:rsidP="00515584">
    <w:pPr>
      <w:pStyle w:val="Docheading"/>
      <w:spacing w:after="0"/>
      <w:rPr>
        <w:color w:val="000000"/>
        <w:sz w:val="22"/>
        <w:szCs w:val="22"/>
      </w:rPr>
    </w:pPr>
    <w:r w:rsidRPr="00AC32C8">
      <w:rPr>
        <w:color w:val="000000"/>
        <w:sz w:val="22"/>
        <w:szCs w:val="22"/>
      </w:rPr>
      <w:t>Draft IOC Ocean Literacy Plan of Action for 2026–2030</w:t>
    </w:r>
  </w:p>
  <w:p w14:paraId="370A056C" w14:textId="77777777" w:rsidR="00441140" w:rsidRPr="00515584" w:rsidRDefault="00441140" w:rsidP="00DF2FB9">
    <w:pPr>
      <w:pStyle w:val="Header"/>
      <w:rPr>
        <w:rFonts w:cs="Arial"/>
        <w:b/>
        <w:szCs w:val="22"/>
      </w:rPr>
    </w:pPr>
  </w:p>
  <w:p w14:paraId="167EC998" w14:textId="77777777" w:rsidR="00441140" w:rsidRPr="005E544C" w:rsidRDefault="00441140">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695D" w14:textId="79604A59" w:rsidR="00441140" w:rsidRPr="006842FA" w:rsidRDefault="00242324" w:rsidP="00C12E5A">
    <w:pPr>
      <w:pStyle w:val="Header"/>
      <w:tabs>
        <w:tab w:val="clear" w:pos="8306"/>
      </w:tabs>
      <w:rPr>
        <w:rFonts w:cs="Arial"/>
        <w:sz w:val="20"/>
        <w:szCs w:val="20"/>
      </w:rPr>
    </w:pPr>
    <w:r w:rsidRPr="00242324">
      <w:rPr>
        <w:rFonts w:cs="Arial"/>
        <w:sz w:val="20"/>
        <w:szCs w:val="20"/>
      </w:rPr>
      <w:t>IOC/A-3</w:t>
    </w:r>
    <w:r w:rsidR="003631A7">
      <w:rPr>
        <w:rFonts w:cs="Arial"/>
        <w:sz w:val="20"/>
        <w:szCs w:val="20"/>
      </w:rPr>
      <w:t>3</w:t>
    </w:r>
    <w:r w:rsidRPr="00242324">
      <w:rPr>
        <w:rFonts w:cs="Arial"/>
        <w:sz w:val="20"/>
        <w:szCs w:val="20"/>
      </w:rPr>
      <w:t>/</w:t>
    </w:r>
    <w:r w:rsidR="00AC32C8">
      <w:rPr>
        <w:rFonts w:cs="Arial"/>
        <w:sz w:val="20"/>
        <w:szCs w:val="20"/>
      </w:rPr>
      <w:t>4.4</w:t>
    </w:r>
    <w:r w:rsidRPr="00242324">
      <w:rPr>
        <w:rFonts w:cs="Arial"/>
        <w:sz w:val="20"/>
        <w:szCs w:val="20"/>
      </w:rPr>
      <w:t>.Doc</w:t>
    </w:r>
    <w:r w:rsidR="00C12E5A">
      <w:rPr>
        <w:rFonts w:cs="Arial"/>
        <w:sz w:val="20"/>
        <w:szCs w:val="20"/>
      </w:rPr>
      <w:t xml:space="preserve">(1) – </w:t>
    </w:r>
    <w:r w:rsidR="00441140">
      <w:rPr>
        <w:rFonts w:cs="Arial"/>
        <w:sz w:val="20"/>
        <w:szCs w:val="20"/>
      </w:rPr>
      <w:t>p</w:t>
    </w:r>
    <w:r w:rsidR="00441140" w:rsidRPr="006842FA">
      <w:rPr>
        <w:rFonts w:cs="Arial"/>
        <w:sz w:val="20"/>
        <w:szCs w:val="20"/>
      </w:rPr>
      <w:t>age </w:t>
    </w:r>
    <w:r w:rsidR="00441140" w:rsidRPr="006842FA">
      <w:rPr>
        <w:rStyle w:val="PageNumber"/>
        <w:rFonts w:cs="Arial"/>
        <w:sz w:val="20"/>
        <w:szCs w:val="20"/>
      </w:rPr>
      <w:fldChar w:fldCharType="begin"/>
    </w:r>
    <w:r w:rsidR="00441140" w:rsidRPr="006842FA">
      <w:rPr>
        <w:rStyle w:val="PageNumber"/>
        <w:rFonts w:cs="Arial"/>
        <w:sz w:val="20"/>
        <w:szCs w:val="20"/>
      </w:rPr>
      <w:instrText xml:space="preserve"> PAGE </w:instrText>
    </w:r>
    <w:r w:rsidR="00441140" w:rsidRPr="006842FA">
      <w:rPr>
        <w:rStyle w:val="PageNumber"/>
        <w:rFonts w:cs="Arial"/>
        <w:sz w:val="20"/>
        <w:szCs w:val="20"/>
      </w:rPr>
      <w:fldChar w:fldCharType="separate"/>
    </w:r>
    <w:r w:rsidR="00D0416A">
      <w:rPr>
        <w:rStyle w:val="PageNumber"/>
        <w:rFonts w:cs="Arial"/>
        <w:noProof/>
        <w:sz w:val="20"/>
        <w:szCs w:val="20"/>
      </w:rPr>
      <w:t>4</w:t>
    </w:r>
    <w:r w:rsidR="00441140"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F2C3" w14:textId="343C5C8B" w:rsidR="0037249C" w:rsidRPr="006842FA" w:rsidRDefault="00EA6689" w:rsidP="00AA2CD5">
    <w:pPr>
      <w:pStyle w:val="Header"/>
      <w:tabs>
        <w:tab w:val="clear" w:pos="8306"/>
      </w:tabs>
      <w:ind w:firstLine="6804"/>
      <w:rPr>
        <w:rFonts w:cs="Arial"/>
        <w:sz w:val="20"/>
        <w:szCs w:val="20"/>
      </w:rPr>
    </w:pPr>
    <w:r w:rsidRPr="00242324">
      <w:rPr>
        <w:rFonts w:cs="Arial"/>
        <w:sz w:val="20"/>
        <w:szCs w:val="20"/>
      </w:rPr>
      <w:t>IOC/A-3</w:t>
    </w:r>
    <w:r w:rsidR="003631A7">
      <w:rPr>
        <w:rFonts w:cs="Arial"/>
        <w:sz w:val="20"/>
        <w:szCs w:val="20"/>
      </w:rPr>
      <w:t>3</w:t>
    </w:r>
    <w:r w:rsidRPr="00242324">
      <w:rPr>
        <w:rFonts w:cs="Arial"/>
        <w:sz w:val="20"/>
        <w:szCs w:val="20"/>
      </w:rPr>
      <w:t>/</w:t>
    </w:r>
    <w:r w:rsidR="00AC32C8">
      <w:rPr>
        <w:rFonts w:cs="Arial"/>
        <w:sz w:val="20"/>
        <w:szCs w:val="20"/>
      </w:rPr>
      <w:t>4.4</w:t>
    </w:r>
    <w:r w:rsidRPr="00242324">
      <w:rPr>
        <w:rFonts w:cs="Arial"/>
        <w:sz w:val="20"/>
        <w:szCs w:val="20"/>
      </w:rPr>
      <w:t>.Doc</w:t>
    </w:r>
    <w:r w:rsidR="00C12E5A">
      <w:rPr>
        <w:rFonts w:cs="Arial"/>
        <w:sz w:val="20"/>
        <w:szCs w:val="20"/>
      </w:rPr>
      <w:t xml:space="preserve">(1) – </w:t>
    </w:r>
    <w:r w:rsidR="006F0C64">
      <w:rPr>
        <w:rFonts w:cs="Arial"/>
        <w:sz w:val="20"/>
        <w:szCs w:val="20"/>
      </w:rPr>
      <w:t>p</w:t>
    </w:r>
    <w:r w:rsidR="0037249C" w:rsidRPr="006842FA">
      <w:rPr>
        <w:rFonts w:cs="Arial"/>
        <w:sz w:val="20"/>
        <w:szCs w:val="20"/>
      </w:rPr>
      <w:t>age </w:t>
    </w:r>
    <w:r w:rsidR="0037249C" w:rsidRPr="006842FA">
      <w:rPr>
        <w:rStyle w:val="PageNumber"/>
        <w:rFonts w:cs="Arial"/>
        <w:sz w:val="20"/>
        <w:szCs w:val="20"/>
      </w:rPr>
      <w:fldChar w:fldCharType="begin"/>
    </w:r>
    <w:r w:rsidR="0037249C" w:rsidRPr="006842FA">
      <w:rPr>
        <w:rStyle w:val="PageNumber"/>
        <w:rFonts w:cs="Arial"/>
        <w:sz w:val="20"/>
        <w:szCs w:val="20"/>
      </w:rPr>
      <w:instrText xml:space="preserve"> PAGE </w:instrText>
    </w:r>
    <w:r w:rsidR="0037249C" w:rsidRPr="006842FA">
      <w:rPr>
        <w:rStyle w:val="PageNumber"/>
        <w:rFonts w:cs="Arial"/>
        <w:sz w:val="20"/>
        <w:szCs w:val="20"/>
      </w:rPr>
      <w:fldChar w:fldCharType="separate"/>
    </w:r>
    <w:r w:rsidR="00D0416A">
      <w:rPr>
        <w:rStyle w:val="PageNumber"/>
        <w:rFonts w:cs="Arial"/>
        <w:noProof/>
        <w:sz w:val="20"/>
        <w:szCs w:val="20"/>
      </w:rPr>
      <w:t>3</w:t>
    </w:r>
    <w:r w:rsidR="0037249C" w:rsidRPr="006842FA">
      <w:rPr>
        <w:rStyle w:val="PageNumber"/>
        <w:rFonts w:cs="Arial"/>
        <w:sz w:val="20"/>
        <w:szCs w:val="20"/>
      </w:rPr>
      <w:fldChar w:fldCharType="end"/>
    </w:r>
  </w:p>
  <w:p w14:paraId="6AAB52E1" w14:textId="77777777" w:rsidR="00441140" w:rsidRPr="00424DE6" w:rsidRDefault="00441140" w:rsidP="00AA2CD5">
    <w:pPr>
      <w:pStyle w:val="Header"/>
      <w:ind w:left="8364" w:firstLine="680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F427" w14:textId="2E26F68C" w:rsidR="00307660" w:rsidRPr="006842FA" w:rsidRDefault="00242324" w:rsidP="00AA2CD5">
    <w:pPr>
      <w:pStyle w:val="Header"/>
      <w:tabs>
        <w:tab w:val="clear" w:pos="8306"/>
      </w:tabs>
      <w:ind w:right="119"/>
      <w:jc w:val="right"/>
      <w:rPr>
        <w:rFonts w:cs="Arial"/>
        <w:sz w:val="20"/>
        <w:szCs w:val="20"/>
      </w:rPr>
    </w:pPr>
    <w:r w:rsidRPr="00242324">
      <w:rPr>
        <w:rFonts w:cs="Arial"/>
        <w:sz w:val="20"/>
        <w:szCs w:val="20"/>
      </w:rPr>
      <w:t>IOC/A-3</w:t>
    </w:r>
    <w:r w:rsidR="00DF41FC">
      <w:rPr>
        <w:rFonts w:cs="Arial"/>
        <w:sz w:val="20"/>
        <w:szCs w:val="20"/>
      </w:rPr>
      <w:t>3</w:t>
    </w:r>
    <w:r w:rsidRPr="00242324">
      <w:rPr>
        <w:rFonts w:cs="Arial"/>
        <w:sz w:val="20"/>
        <w:szCs w:val="20"/>
      </w:rPr>
      <w:t>/</w:t>
    </w:r>
    <w:r w:rsidR="00AC32C8">
      <w:rPr>
        <w:rFonts w:cs="Arial"/>
        <w:sz w:val="20"/>
        <w:szCs w:val="20"/>
      </w:rPr>
      <w:t>4.4</w:t>
    </w:r>
    <w:r w:rsidRPr="00242324">
      <w:rPr>
        <w:rFonts w:cs="Arial"/>
        <w:sz w:val="20"/>
        <w:szCs w:val="20"/>
      </w:rPr>
      <w:t>.Doc</w:t>
    </w:r>
    <w:r w:rsidR="00C12E5A">
      <w:rPr>
        <w:rFonts w:cs="Arial"/>
        <w:sz w:val="20"/>
        <w:szCs w:val="20"/>
      </w:rPr>
      <w:t xml:space="preserve">(1) – </w:t>
    </w:r>
    <w:r w:rsidR="004827E4">
      <w:rPr>
        <w:rFonts w:cs="Arial"/>
        <w:sz w:val="20"/>
        <w:szCs w:val="20"/>
      </w:rPr>
      <w:t>p</w:t>
    </w:r>
    <w:r w:rsidR="00307660">
      <w:rPr>
        <w:rFonts w:cs="Arial"/>
        <w:sz w:val="20"/>
        <w:szCs w:val="20"/>
      </w:rPr>
      <w:t>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D9043B"/>
    <w:multiLevelType w:val="hybridMultilevel"/>
    <w:tmpl w:val="F4167F0A"/>
    <w:lvl w:ilvl="0" w:tplc="043E3BCA">
      <w:start w:val="1"/>
      <w:numFmt w:val="decimal"/>
      <w:pStyle w:val="EX4text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52973"/>
    <w:multiLevelType w:val="hybridMultilevel"/>
    <w:tmpl w:val="B5FC1906"/>
    <w:lvl w:ilvl="0" w:tplc="C362FA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8B5D50"/>
    <w:multiLevelType w:val="hybridMultilevel"/>
    <w:tmpl w:val="72964D36"/>
    <w:lvl w:ilvl="0" w:tplc="6B565D42">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54160"/>
    <w:multiLevelType w:val="hybridMultilevel"/>
    <w:tmpl w:val="1F568C2A"/>
    <w:lvl w:ilvl="0" w:tplc="D0469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B39E8"/>
    <w:multiLevelType w:val="hybridMultilevel"/>
    <w:tmpl w:val="62E8B2BC"/>
    <w:lvl w:ilvl="0" w:tplc="C0DC364A">
      <w:start w:val="1"/>
      <w:numFmt w:val="lowerRoman"/>
      <w:lvlText w:val="(%1)"/>
      <w:lvlJc w:val="left"/>
      <w:pPr>
        <w:ind w:left="1069" w:hanging="360"/>
      </w:pPr>
      <w:rPr>
        <w:rFonts w:hint="default"/>
        <w:sz w:val="22"/>
        <w:szCs w:val="2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15:restartNumberingAfterBreak="0">
    <w:nsid w:val="284513F4"/>
    <w:multiLevelType w:val="hybridMultilevel"/>
    <w:tmpl w:val="C7FA78FE"/>
    <w:lvl w:ilvl="0" w:tplc="280A53C2">
      <w:start w:val="1"/>
      <w:numFmt w:val="decimal"/>
      <w:lvlText w:val="%1."/>
      <w:lvlJc w:val="left"/>
      <w:pPr>
        <w:ind w:left="798" w:hanging="360"/>
      </w:pPr>
      <w:rPr>
        <w:rFonts w:hint="default"/>
      </w:rPr>
    </w:lvl>
    <w:lvl w:ilvl="1" w:tplc="040C0019" w:tentative="1">
      <w:start w:val="1"/>
      <w:numFmt w:val="lowerLetter"/>
      <w:lvlText w:val="%2."/>
      <w:lvlJc w:val="left"/>
      <w:pPr>
        <w:ind w:left="1518" w:hanging="360"/>
      </w:pPr>
    </w:lvl>
    <w:lvl w:ilvl="2" w:tplc="040C001B" w:tentative="1">
      <w:start w:val="1"/>
      <w:numFmt w:val="lowerRoman"/>
      <w:lvlText w:val="%3."/>
      <w:lvlJc w:val="right"/>
      <w:pPr>
        <w:ind w:left="2238" w:hanging="180"/>
      </w:pPr>
    </w:lvl>
    <w:lvl w:ilvl="3" w:tplc="040C000F" w:tentative="1">
      <w:start w:val="1"/>
      <w:numFmt w:val="decimal"/>
      <w:lvlText w:val="%4."/>
      <w:lvlJc w:val="left"/>
      <w:pPr>
        <w:ind w:left="2958" w:hanging="360"/>
      </w:pPr>
    </w:lvl>
    <w:lvl w:ilvl="4" w:tplc="040C0019" w:tentative="1">
      <w:start w:val="1"/>
      <w:numFmt w:val="lowerLetter"/>
      <w:lvlText w:val="%5."/>
      <w:lvlJc w:val="left"/>
      <w:pPr>
        <w:ind w:left="3678" w:hanging="360"/>
      </w:pPr>
    </w:lvl>
    <w:lvl w:ilvl="5" w:tplc="040C001B" w:tentative="1">
      <w:start w:val="1"/>
      <w:numFmt w:val="lowerRoman"/>
      <w:lvlText w:val="%6."/>
      <w:lvlJc w:val="right"/>
      <w:pPr>
        <w:ind w:left="4398" w:hanging="180"/>
      </w:pPr>
    </w:lvl>
    <w:lvl w:ilvl="6" w:tplc="040C000F" w:tentative="1">
      <w:start w:val="1"/>
      <w:numFmt w:val="decimal"/>
      <w:lvlText w:val="%7."/>
      <w:lvlJc w:val="left"/>
      <w:pPr>
        <w:ind w:left="5118" w:hanging="360"/>
      </w:pPr>
    </w:lvl>
    <w:lvl w:ilvl="7" w:tplc="040C0019" w:tentative="1">
      <w:start w:val="1"/>
      <w:numFmt w:val="lowerLetter"/>
      <w:lvlText w:val="%8."/>
      <w:lvlJc w:val="left"/>
      <w:pPr>
        <w:ind w:left="5838" w:hanging="360"/>
      </w:pPr>
    </w:lvl>
    <w:lvl w:ilvl="8" w:tplc="040C001B" w:tentative="1">
      <w:start w:val="1"/>
      <w:numFmt w:val="lowerRoman"/>
      <w:lvlText w:val="%9."/>
      <w:lvlJc w:val="right"/>
      <w:pPr>
        <w:ind w:left="6558" w:hanging="180"/>
      </w:pPr>
    </w:lvl>
  </w:abstractNum>
  <w:abstractNum w:abstractNumId="9"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33D06747"/>
    <w:multiLevelType w:val="hybridMultilevel"/>
    <w:tmpl w:val="C4847498"/>
    <w:lvl w:ilvl="0" w:tplc="35405A98">
      <w:start w:val="5"/>
      <w:numFmt w:val="bullet"/>
      <w:lvlText w:val="-"/>
      <w:lvlJc w:val="left"/>
      <w:pPr>
        <w:ind w:left="1086" w:hanging="360"/>
      </w:pPr>
      <w:rPr>
        <w:rFonts w:ascii="Arial" w:eastAsia="Arial Unicode MS" w:hAnsi="Arial" w:cs="Aria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2"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16202C"/>
    <w:multiLevelType w:val="hybridMultilevel"/>
    <w:tmpl w:val="5C465BE8"/>
    <w:lvl w:ilvl="0" w:tplc="6B842CB8">
      <w:start w:val="1"/>
      <w:numFmt w:val="upperLetter"/>
      <w:lvlText w:val="%1."/>
      <w:lvlJc w:val="left"/>
      <w:pPr>
        <w:ind w:left="644" w:hanging="360"/>
      </w:pPr>
      <w:rPr>
        <w:rFonts w:ascii="Arial" w:eastAsia="Arial Unicode MS"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30DC1"/>
    <w:multiLevelType w:val="hybridMultilevel"/>
    <w:tmpl w:val="F508E1DE"/>
    <w:lvl w:ilvl="0" w:tplc="865E46E6">
      <w:start w:val="1"/>
      <w:numFmt w:val="decimal"/>
      <w:lvlText w:val="%1."/>
      <w:lvlJc w:val="left"/>
      <w:pPr>
        <w:ind w:left="720" w:hanging="360"/>
      </w:pPr>
      <w:rPr>
        <w:rFonts w:ascii="Arial" w:hAnsi="Arial" w:cs="Arial"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04C64"/>
    <w:multiLevelType w:val="hybridMultilevel"/>
    <w:tmpl w:val="56C4212A"/>
    <w:lvl w:ilvl="0" w:tplc="AB30E35C">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C768C1"/>
    <w:multiLevelType w:val="hybridMultilevel"/>
    <w:tmpl w:val="D3E809BA"/>
    <w:lvl w:ilvl="0" w:tplc="82E6549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0"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44B35C5"/>
    <w:multiLevelType w:val="hybridMultilevel"/>
    <w:tmpl w:val="256E4662"/>
    <w:lvl w:ilvl="0" w:tplc="1AA6A1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16cid:durableId="572937752">
    <w:abstractNumId w:val="10"/>
  </w:num>
  <w:num w:numId="2" w16cid:durableId="1678075405">
    <w:abstractNumId w:val="16"/>
  </w:num>
  <w:num w:numId="3" w16cid:durableId="2006280147">
    <w:abstractNumId w:val="0"/>
  </w:num>
  <w:num w:numId="4" w16cid:durableId="1321991">
    <w:abstractNumId w:val="2"/>
  </w:num>
  <w:num w:numId="5" w16cid:durableId="1734548371">
    <w:abstractNumId w:val="4"/>
  </w:num>
  <w:num w:numId="6" w16cid:durableId="946540261">
    <w:abstractNumId w:val="16"/>
  </w:num>
  <w:num w:numId="7" w16cid:durableId="761416369">
    <w:abstractNumId w:val="16"/>
  </w:num>
  <w:num w:numId="8" w16cid:durableId="587884316">
    <w:abstractNumId w:val="23"/>
  </w:num>
  <w:num w:numId="9" w16cid:durableId="1526602520">
    <w:abstractNumId w:val="12"/>
  </w:num>
  <w:num w:numId="10" w16cid:durableId="1237016383">
    <w:abstractNumId w:val="9"/>
  </w:num>
  <w:num w:numId="11" w16cid:durableId="1680545545">
    <w:abstractNumId w:val="20"/>
  </w:num>
  <w:num w:numId="12" w16cid:durableId="566458689">
    <w:abstractNumId w:val="21"/>
  </w:num>
  <w:num w:numId="13" w16cid:durableId="247929692">
    <w:abstractNumId w:val="18"/>
  </w:num>
  <w:num w:numId="14" w16cid:durableId="696547056">
    <w:abstractNumId w:val="14"/>
  </w:num>
  <w:num w:numId="15" w16cid:durableId="1131822702">
    <w:abstractNumId w:val="24"/>
  </w:num>
  <w:num w:numId="16" w16cid:durableId="693461447">
    <w:abstractNumId w:val="11"/>
  </w:num>
  <w:num w:numId="17" w16cid:durableId="1102726446">
    <w:abstractNumId w:val="7"/>
  </w:num>
  <w:num w:numId="18" w16cid:durableId="35786334">
    <w:abstractNumId w:val="17"/>
  </w:num>
  <w:num w:numId="19" w16cid:durableId="2078891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2318763">
    <w:abstractNumId w:val="3"/>
  </w:num>
  <w:num w:numId="21" w16cid:durableId="1722483817">
    <w:abstractNumId w:val="16"/>
    <w:lvlOverride w:ilvl="0">
      <w:startOverride w:val="1"/>
    </w:lvlOverride>
  </w:num>
  <w:num w:numId="22" w16cid:durableId="1832406208">
    <w:abstractNumId w:val="16"/>
  </w:num>
  <w:num w:numId="23" w16cid:durableId="1749376128">
    <w:abstractNumId w:val="16"/>
  </w:num>
  <w:num w:numId="24" w16cid:durableId="1684891873">
    <w:abstractNumId w:val="8"/>
  </w:num>
  <w:num w:numId="25" w16cid:durableId="1624456666">
    <w:abstractNumId w:val="22"/>
  </w:num>
  <w:num w:numId="26" w16cid:durableId="669796030">
    <w:abstractNumId w:val="16"/>
  </w:num>
  <w:num w:numId="27" w16cid:durableId="1807312026">
    <w:abstractNumId w:val="5"/>
  </w:num>
  <w:num w:numId="28" w16cid:durableId="801994466">
    <w:abstractNumId w:val="6"/>
  </w:num>
  <w:num w:numId="29" w16cid:durableId="400448360">
    <w:abstractNumId w:val="1"/>
  </w:num>
  <w:num w:numId="30" w16cid:durableId="1931044810">
    <w:abstractNumId w:val="1"/>
  </w:num>
  <w:num w:numId="31" w16cid:durableId="359353575">
    <w:abstractNumId w:val="1"/>
  </w:num>
  <w:num w:numId="32" w16cid:durableId="189152868">
    <w:abstractNumId w:val="1"/>
  </w:num>
  <w:num w:numId="33" w16cid:durableId="1190411679">
    <w:abstractNumId w:val="1"/>
  </w:num>
  <w:num w:numId="34" w16cid:durableId="1090857255">
    <w:abstractNumId w:val="1"/>
  </w:num>
  <w:num w:numId="35" w16cid:durableId="128254715">
    <w:abstractNumId w:val="1"/>
  </w:num>
  <w:num w:numId="36" w16cid:durableId="1063483451">
    <w:abstractNumId w:val="1"/>
  </w:num>
  <w:num w:numId="37" w16cid:durableId="419177891">
    <w:abstractNumId w:val="1"/>
  </w:num>
  <w:num w:numId="38" w16cid:durableId="296492527">
    <w:abstractNumId w:val="1"/>
  </w:num>
  <w:num w:numId="39" w16cid:durableId="1734766860">
    <w:abstractNumId w:val="1"/>
  </w:num>
  <w:num w:numId="40" w16cid:durableId="567305042">
    <w:abstractNumId w:val="1"/>
  </w:num>
  <w:num w:numId="41" w16cid:durableId="1726948244">
    <w:abstractNumId w:val="19"/>
  </w:num>
  <w:num w:numId="42" w16cid:durableId="5571124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BBB"/>
    <w:rsid w:val="000156E0"/>
    <w:rsid w:val="00020AA1"/>
    <w:rsid w:val="000278A0"/>
    <w:rsid w:val="0003688F"/>
    <w:rsid w:val="00040227"/>
    <w:rsid w:val="000417CB"/>
    <w:rsid w:val="000560F7"/>
    <w:rsid w:val="00062051"/>
    <w:rsid w:val="00076BD8"/>
    <w:rsid w:val="00084687"/>
    <w:rsid w:val="00085274"/>
    <w:rsid w:val="00085D6A"/>
    <w:rsid w:val="00085D85"/>
    <w:rsid w:val="00086969"/>
    <w:rsid w:val="00090A62"/>
    <w:rsid w:val="000B276A"/>
    <w:rsid w:val="000B693C"/>
    <w:rsid w:val="000B7E2A"/>
    <w:rsid w:val="000C2EE5"/>
    <w:rsid w:val="000C38C8"/>
    <w:rsid w:val="000C61A0"/>
    <w:rsid w:val="000C6E08"/>
    <w:rsid w:val="000D16AC"/>
    <w:rsid w:val="000D5B8F"/>
    <w:rsid w:val="000E0239"/>
    <w:rsid w:val="000E3E1A"/>
    <w:rsid w:val="000E6EE5"/>
    <w:rsid w:val="000E73F9"/>
    <w:rsid w:val="000F0254"/>
    <w:rsid w:val="0010242E"/>
    <w:rsid w:val="001156AE"/>
    <w:rsid w:val="00123719"/>
    <w:rsid w:val="001241D7"/>
    <w:rsid w:val="0012479D"/>
    <w:rsid w:val="001370E4"/>
    <w:rsid w:val="00137BED"/>
    <w:rsid w:val="00137E97"/>
    <w:rsid w:val="001448C4"/>
    <w:rsid w:val="00152A1B"/>
    <w:rsid w:val="00155BA3"/>
    <w:rsid w:val="00163192"/>
    <w:rsid w:val="00166397"/>
    <w:rsid w:val="00167158"/>
    <w:rsid w:val="00171EF4"/>
    <w:rsid w:val="001732BA"/>
    <w:rsid w:val="00184B8E"/>
    <w:rsid w:val="001877F5"/>
    <w:rsid w:val="00196052"/>
    <w:rsid w:val="00196F31"/>
    <w:rsid w:val="001A037F"/>
    <w:rsid w:val="001A58AE"/>
    <w:rsid w:val="001A63A0"/>
    <w:rsid w:val="001B3B24"/>
    <w:rsid w:val="001C21FC"/>
    <w:rsid w:val="001C2C69"/>
    <w:rsid w:val="001C6455"/>
    <w:rsid w:val="001C7875"/>
    <w:rsid w:val="001D27FC"/>
    <w:rsid w:val="001D75DB"/>
    <w:rsid w:val="001E0980"/>
    <w:rsid w:val="001E7083"/>
    <w:rsid w:val="001E7522"/>
    <w:rsid w:val="001F5E0D"/>
    <w:rsid w:val="00203217"/>
    <w:rsid w:val="00217DF6"/>
    <w:rsid w:val="00223053"/>
    <w:rsid w:val="00242324"/>
    <w:rsid w:val="002579C2"/>
    <w:rsid w:val="002652F9"/>
    <w:rsid w:val="00274BB0"/>
    <w:rsid w:val="0027622C"/>
    <w:rsid w:val="002810CD"/>
    <w:rsid w:val="00285CF5"/>
    <w:rsid w:val="002A0AE0"/>
    <w:rsid w:val="002A19EF"/>
    <w:rsid w:val="002B282C"/>
    <w:rsid w:val="002B7A48"/>
    <w:rsid w:val="002C7DE3"/>
    <w:rsid w:val="002D14C8"/>
    <w:rsid w:val="002D441C"/>
    <w:rsid w:val="002D52FA"/>
    <w:rsid w:val="002E0859"/>
    <w:rsid w:val="002E09D1"/>
    <w:rsid w:val="002E2C57"/>
    <w:rsid w:val="002E2D68"/>
    <w:rsid w:val="002E6768"/>
    <w:rsid w:val="002E6D7F"/>
    <w:rsid w:val="00305778"/>
    <w:rsid w:val="00307660"/>
    <w:rsid w:val="0031161D"/>
    <w:rsid w:val="003178E9"/>
    <w:rsid w:val="00317E5D"/>
    <w:rsid w:val="003404ED"/>
    <w:rsid w:val="00340A23"/>
    <w:rsid w:val="0034156B"/>
    <w:rsid w:val="00347E19"/>
    <w:rsid w:val="003623CC"/>
    <w:rsid w:val="003631A7"/>
    <w:rsid w:val="003640DC"/>
    <w:rsid w:val="00364C91"/>
    <w:rsid w:val="0037184C"/>
    <w:rsid w:val="0037249C"/>
    <w:rsid w:val="003756CF"/>
    <w:rsid w:val="0038059E"/>
    <w:rsid w:val="003805F5"/>
    <w:rsid w:val="00387AE8"/>
    <w:rsid w:val="00393543"/>
    <w:rsid w:val="003A0024"/>
    <w:rsid w:val="003A1612"/>
    <w:rsid w:val="003A561A"/>
    <w:rsid w:val="003A7860"/>
    <w:rsid w:val="003B3CAC"/>
    <w:rsid w:val="003B5530"/>
    <w:rsid w:val="003D3711"/>
    <w:rsid w:val="003E0E67"/>
    <w:rsid w:val="003F43F9"/>
    <w:rsid w:val="003F7186"/>
    <w:rsid w:val="004002D4"/>
    <w:rsid w:val="00413F17"/>
    <w:rsid w:val="004165C9"/>
    <w:rsid w:val="00424DE6"/>
    <w:rsid w:val="00434F47"/>
    <w:rsid w:val="0043609D"/>
    <w:rsid w:val="00441140"/>
    <w:rsid w:val="00451B96"/>
    <w:rsid w:val="004529B8"/>
    <w:rsid w:val="00454C74"/>
    <w:rsid w:val="00467E3F"/>
    <w:rsid w:val="004827E4"/>
    <w:rsid w:val="0048449B"/>
    <w:rsid w:val="00490261"/>
    <w:rsid w:val="0049221C"/>
    <w:rsid w:val="00497E20"/>
    <w:rsid w:val="004A135F"/>
    <w:rsid w:val="004A5784"/>
    <w:rsid w:val="004B4ECA"/>
    <w:rsid w:val="004B7BD6"/>
    <w:rsid w:val="004C1625"/>
    <w:rsid w:val="004D4543"/>
    <w:rsid w:val="004D6679"/>
    <w:rsid w:val="004E0B15"/>
    <w:rsid w:val="004F397F"/>
    <w:rsid w:val="004F7D6C"/>
    <w:rsid w:val="0050245B"/>
    <w:rsid w:val="00515584"/>
    <w:rsid w:val="00525395"/>
    <w:rsid w:val="00526572"/>
    <w:rsid w:val="0053255C"/>
    <w:rsid w:val="00536148"/>
    <w:rsid w:val="005407B6"/>
    <w:rsid w:val="00547068"/>
    <w:rsid w:val="0058198C"/>
    <w:rsid w:val="00587137"/>
    <w:rsid w:val="00590C03"/>
    <w:rsid w:val="005B2FDF"/>
    <w:rsid w:val="005B57CA"/>
    <w:rsid w:val="005B5B97"/>
    <w:rsid w:val="005C02B7"/>
    <w:rsid w:val="005C7A36"/>
    <w:rsid w:val="005C7D76"/>
    <w:rsid w:val="005D0ADD"/>
    <w:rsid w:val="005E1C99"/>
    <w:rsid w:val="005E544C"/>
    <w:rsid w:val="005E6889"/>
    <w:rsid w:val="005F4D23"/>
    <w:rsid w:val="005F6E3A"/>
    <w:rsid w:val="00602A67"/>
    <w:rsid w:val="006110DA"/>
    <w:rsid w:val="0062678D"/>
    <w:rsid w:val="006308BD"/>
    <w:rsid w:val="00633EA5"/>
    <w:rsid w:val="00637672"/>
    <w:rsid w:val="00676F33"/>
    <w:rsid w:val="0068128E"/>
    <w:rsid w:val="006842FA"/>
    <w:rsid w:val="0068682C"/>
    <w:rsid w:val="00687541"/>
    <w:rsid w:val="00690A0C"/>
    <w:rsid w:val="00690FD2"/>
    <w:rsid w:val="00693199"/>
    <w:rsid w:val="00694465"/>
    <w:rsid w:val="00696079"/>
    <w:rsid w:val="006A761F"/>
    <w:rsid w:val="006B2FDD"/>
    <w:rsid w:val="006B4B95"/>
    <w:rsid w:val="006B51BA"/>
    <w:rsid w:val="006B59E2"/>
    <w:rsid w:val="006B7489"/>
    <w:rsid w:val="006C18D9"/>
    <w:rsid w:val="006C1BDA"/>
    <w:rsid w:val="006C6449"/>
    <w:rsid w:val="006D1125"/>
    <w:rsid w:val="006D3998"/>
    <w:rsid w:val="006D5041"/>
    <w:rsid w:val="006E1454"/>
    <w:rsid w:val="006E3870"/>
    <w:rsid w:val="006E692F"/>
    <w:rsid w:val="006E7073"/>
    <w:rsid w:val="006F0C64"/>
    <w:rsid w:val="006F1F38"/>
    <w:rsid w:val="00703F52"/>
    <w:rsid w:val="00723A8F"/>
    <w:rsid w:val="00735830"/>
    <w:rsid w:val="007367B0"/>
    <w:rsid w:val="00737A18"/>
    <w:rsid w:val="00741CAA"/>
    <w:rsid w:val="007457B7"/>
    <w:rsid w:val="00746B89"/>
    <w:rsid w:val="007471D6"/>
    <w:rsid w:val="00762C36"/>
    <w:rsid w:val="00785386"/>
    <w:rsid w:val="007870B1"/>
    <w:rsid w:val="0079212B"/>
    <w:rsid w:val="007B1B9A"/>
    <w:rsid w:val="007C1458"/>
    <w:rsid w:val="007D3B71"/>
    <w:rsid w:val="007E4F92"/>
    <w:rsid w:val="007F78E8"/>
    <w:rsid w:val="00801754"/>
    <w:rsid w:val="008048D2"/>
    <w:rsid w:val="00806C60"/>
    <w:rsid w:val="00813CAF"/>
    <w:rsid w:val="008302D7"/>
    <w:rsid w:val="00831211"/>
    <w:rsid w:val="0084251A"/>
    <w:rsid w:val="00850CB1"/>
    <w:rsid w:val="00853565"/>
    <w:rsid w:val="00854DA0"/>
    <w:rsid w:val="00863113"/>
    <w:rsid w:val="00867FCD"/>
    <w:rsid w:val="00870C14"/>
    <w:rsid w:val="00870CE7"/>
    <w:rsid w:val="008754BE"/>
    <w:rsid w:val="00875ECD"/>
    <w:rsid w:val="008823B5"/>
    <w:rsid w:val="008849F0"/>
    <w:rsid w:val="0089077E"/>
    <w:rsid w:val="00891331"/>
    <w:rsid w:val="00891D09"/>
    <w:rsid w:val="00893AD3"/>
    <w:rsid w:val="0089563B"/>
    <w:rsid w:val="008A4F60"/>
    <w:rsid w:val="008A6E5C"/>
    <w:rsid w:val="008B2DC6"/>
    <w:rsid w:val="008B384B"/>
    <w:rsid w:val="008B4705"/>
    <w:rsid w:val="008B4C73"/>
    <w:rsid w:val="008D1EEC"/>
    <w:rsid w:val="008D2398"/>
    <w:rsid w:val="008D548F"/>
    <w:rsid w:val="008E3DD1"/>
    <w:rsid w:val="008F0FBC"/>
    <w:rsid w:val="008F5B6C"/>
    <w:rsid w:val="008F6942"/>
    <w:rsid w:val="009026D3"/>
    <w:rsid w:val="00936C3F"/>
    <w:rsid w:val="00937EF7"/>
    <w:rsid w:val="0094763F"/>
    <w:rsid w:val="00950A83"/>
    <w:rsid w:val="00952863"/>
    <w:rsid w:val="00961211"/>
    <w:rsid w:val="0096159B"/>
    <w:rsid w:val="00966A0F"/>
    <w:rsid w:val="00980050"/>
    <w:rsid w:val="00980720"/>
    <w:rsid w:val="00980B08"/>
    <w:rsid w:val="00987BBD"/>
    <w:rsid w:val="00993CA4"/>
    <w:rsid w:val="009A62A9"/>
    <w:rsid w:val="009B2E7D"/>
    <w:rsid w:val="009B63AB"/>
    <w:rsid w:val="009C0A89"/>
    <w:rsid w:val="009C13EF"/>
    <w:rsid w:val="009C15B1"/>
    <w:rsid w:val="009D30AD"/>
    <w:rsid w:val="009E48BD"/>
    <w:rsid w:val="009E6A03"/>
    <w:rsid w:val="009E78BB"/>
    <w:rsid w:val="009F2FC0"/>
    <w:rsid w:val="009F7769"/>
    <w:rsid w:val="00A01A30"/>
    <w:rsid w:val="00A02F9F"/>
    <w:rsid w:val="00A11697"/>
    <w:rsid w:val="00A14093"/>
    <w:rsid w:val="00A203FC"/>
    <w:rsid w:val="00A23B4A"/>
    <w:rsid w:val="00A25BC8"/>
    <w:rsid w:val="00A43E9C"/>
    <w:rsid w:val="00A51715"/>
    <w:rsid w:val="00A66FC7"/>
    <w:rsid w:val="00A67718"/>
    <w:rsid w:val="00A759A6"/>
    <w:rsid w:val="00A92572"/>
    <w:rsid w:val="00A92893"/>
    <w:rsid w:val="00A931AA"/>
    <w:rsid w:val="00AA2B13"/>
    <w:rsid w:val="00AA2CD5"/>
    <w:rsid w:val="00AB50B8"/>
    <w:rsid w:val="00AC32C8"/>
    <w:rsid w:val="00AC6A22"/>
    <w:rsid w:val="00AC6BA4"/>
    <w:rsid w:val="00AC773C"/>
    <w:rsid w:val="00AD3D55"/>
    <w:rsid w:val="00AD494A"/>
    <w:rsid w:val="00AD7234"/>
    <w:rsid w:val="00AE329C"/>
    <w:rsid w:val="00B042BC"/>
    <w:rsid w:val="00B06427"/>
    <w:rsid w:val="00B13226"/>
    <w:rsid w:val="00B37EDA"/>
    <w:rsid w:val="00B55C66"/>
    <w:rsid w:val="00B64631"/>
    <w:rsid w:val="00B722DE"/>
    <w:rsid w:val="00B73F4F"/>
    <w:rsid w:val="00B818D2"/>
    <w:rsid w:val="00B83068"/>
    <w:rsid w:val="00B838FB"/>
    <w:rsid w:val="00B94164"/>
    <w:rsid w:val="00BA0B22"/>
    <w:rsid w:val="00BA76D9"/>
    <w:rsid w:val="00BB5D00"/>
    <w:rsid w:val="00BC2FD9"/>
    <w:rsid w:val="00BC7416"/>
    <w:rsid w:val="00BD6603"/>
    <w:rsid w:val="00BD6E89"/>
    <w:rsid w:val="00BE35BA"/>
    <w:rsid w:val="00BE4427"/>
    <w:rsid w:val="00BE68DC"/>
    <w:rsid w:val="00BF069C"/>
    <w:rsid w:val="00BF1838"/>
    <w:rsid w:val="00BF378D"/>
    <w:rsid w:val="00BF3835"/>
    <w:rsid w:val="00BF45BD"/>
    <w:rsid w:val="00BF6786"/>
    <w:rsid w:val="00BF67E7"/>
    <w:rsid w:val="00C008B0"/>
    <w:rsid w:val="00C05769"/>
    <w:rsid w:val="00C1002D"/>
    <w:rsid w:val="00C11C55"/>
    <w:rsid w:val="00C12E5A"/>
    <w:rsid w:val="00C14DD3"/>
    <w:rsid w:val="00C16294"/>
    <w:rsid w:val="00C253EF"/>
    <w:rsid w:val="00C2635E"/>
    <w:rsid w:val="00C31853"/>
    <w:rsid w:val="00C318D0"/>
    <w:rsid w:val="00C42FFB"/>
    <w:rsid w:val="00C55528"/>
    <w:rsid w:val="00C6486C"/>
    <w:rsid w:val="00C648D3"/>
    <w:rsid w:val="00C6660D"/>
    <w:rsid w:val="00C674AF"/>
    <w:rsid w:val="00C7393A"/>
    <w:rsid w:val="00C75B02"/>
    <w:rsid w:val="00C76160"/>
    <w:rsid w:val="00C77DDE"/>
    <w:rsid w:val="00C86109"/>
    <w:rsid w:val="00C87727"/>
    <w:rsid w:val="00C962F0"/>
    <w:rsid w:val="00CB2684"/>
    <w:rsid w:val="00CC419E"/>
    <w:rsid w:val="00CC7056"/>
    <w:rsid w:val="00CD4AED"/>
    <w:rsid w:val="00CD6EF7"/>
    <w:rsid w:val="00CE1B68"/>
    <w:rsid w:val="00CE799A"/>
    <w:rsid w:val="00CF0138"/>
    <w:rsid w:val="00D013ED"/>
    <w:rsid w:val="00D0416A"/>
    <w:rsid w:val="00D06F71"/>
    <w:rsid w:val="00D166EE"/>
    <w:rsid w:val="00D2392E"/>
    <w:rsid w:val="00D265AD"/>
    <w:rsid w:val="00D27F78"/>
    <w:rsid w:val="00D36BDC"/>
    <w:rsid w:val="00D379A6"/>
    <w:rsid w:val="00D43CC7"/>
    <w:rsid w:val="00D448A1"/>
    <w:rsid w:val="00D44B24"/>
    <w:rsid w:val="00D5049E"/>
    <w:rsid w:val="00D55FEC"/>
    <w:rsid w:val="00D71125"/>
    <w:rsid w:val="00D859D0"/>
    <w:rsid w:val="00D91C09"/>
    <w:rsid w:val="00D92DD1"/>
    <w:rsid w:val="00D95CAD"/>
    <w:rsid w:val="00D96F5C"/>
    <w:rsid w:val="00DB1DFA"/>
    <w:rsid w:val="00DE35FF"/>
    <w:rsid w:val="00DE4579"/>
    <w:rsid w:val="00DE6237"/>
    <w:rsid w:val="00DF1664"/>
    <w:rsid w:val="00DF2FB9"/>
    <w:rsid w:val="00DF3AD0"/>
    <w:rsid w:val="00DF41FC"/>
    <w:rsid w:val="00E27F5E"/>
    <w:rsid w:val="00E334EB"/>
    <w:rsid w:val="00E354C3"/>
    <w:rsid w:val="00E454CD"/>
    <w:rsid w:val="00E55234"/>
    <w:rsid w:val="00E608A6"/>
    <w:rsid w:val="00E60CBC"/>
    <w:rsid w:val="00E63DEF"/>
    <w:rsid w:val="00E64936"/>
    <w:rsid w:val="00E71BD3"/>
    <w:rsid w:val="00E75CF6"/>
    <w:rsid w:val="00E86189"/>
    <w:rsid w:val="00EA168C"/>
    <w:rsid w:val="00EA6689"/>
    <w:rsid w:val="00EA6DDF"/>
    <w:rsid w:val="00EB52DB"/>
    <w:rsid w:val="00EC53C8"/>
    <w:rsid w:val="00EC753F"/>
    <w:rsid w:val="00EE0542"/>
    <w:rsid w:val="00EE11A0"/>
    <w:rsid w:val="00EE237B"/>
    <w:rsid w:val="00EF3957"/>
    <w:rsid w:val="00F10024"/>
    <w:rsid w:val="00F10F21"/>
    <w:rsid w:val="00F13BAA"/>
    <w:rsid w:val="00F26226"/>
    <w:rsid w:val="00F269BB"/>
    <w:rsid w:val="00F271BF"/>
    <w:rsid w:val="00F431C9"/>
    <w:rsid w:val="00F463F2"/>
    <w:rsid w:val="00F474F9"/>
    <w:rsid w:val="00F47A40"/>
    <w:rsid w:val="00F50B8E"/>
    <w:rsid w:val="00F5447C"/>
    <w:rsid w:val="00F56CDF"/>
    <w:rsid w:val="00F60A12"/>
    <w:rsid w:val="00F66E0A"/>
    <w:rsid w:val="00F7009F"/>
    <w:rsid w:val="00F70FD9"/>
    <w:rsid w:val="00F74494"/>
    <w:rsid w:val="00F8068F"/>
    <w:rsid w:val="00F8186D"/>
    <w:rsid w:val="00F8204B"/>
    <w:rsid w:val="00F82282"/>
    <w:rsid w:val="00FB3901"/>
    <w:rsid w:val="00FB4B68"/>
    <w:rsid w:val="00FB6A51"/>
    <w:rsid w:val="00FC0813"/>
    <w:rsid w:val="00FC3532"/>
    <w:rsid w:val="00FC54E1"/>
    <w:rsid w:val="00FE2557"/>
    <w:rsid w:val="00FF506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04E3B1"/>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aliases w:val="ADB List Paragraph,Dot pt,List Paragraph Char Char Char,Indicator Text,List Paragraph1,Numbered Para 1,List Paragraph12,Bullet Points,MAIN CONTENT,Bullet 1,Colorful List - Accent 11,Light Grid - Accent 31,References,Indent Paragraph,stil3"/>
    <w:basedOn w:val="Normal"/>
    <w:link w:val="ListParagraphChar"/>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 w:type="paragraph" w:customStyle="1" w:styleId="EX4subtitles">
    <w:name w:val="EX4 sub titles"/>
    <w:basedOn w:val="Normal"/>
    <w:link w:val="EX4subtitlesChar"/>
    <w:qFormat/>
    <w:rsid w:val="002E2D68"/>
    <w:pPr>
      <w:tabs>
        <w:tab w:val="clear" w:pos="567"/>
      </w:tabs>
      <w:autoSpaceDE w:val="0"/>
      <w:autoSpaceDN w:val="0"/>
      <w:adjustRightInd w:val="0"/>
      <w:snapToGrid/>
      <w:spacing w:before="240" w:after="160" w:line="276" w:lineRule="auto"/>
    </w:pPr>
    <w:rPr>
      <w:rFonts w:asciiTheme="minorBidi" w:eastAsiaTheme="minorEastAsia" w:hAnsiTheme="minorBidi" w:cstheme="minorBidi"/>
      <w:b/>
      <w:bCs/>
      <w:snapToGrid/>
      <w:color w:val="000000"/>
      <w:szCs w:val="22"/>
      <w:lang w:val="en-US" w:eastAsia="zh-CN"/>
    </w:rPr>
  </w:style>
  <w:style w:type="character" w:customStyle="1" w:styleId="EX4subtitlesChar">
    <w:name w:val="EX4 sub titles Char"/>
    <w:basedOn w:val="DefaultParagraphFont"/>
    <w:link w:val="EX4subtitles"/>
    <w:rsid w:val="002E2D68"/>
    <w:rPr>
      <w:rFonts w:asciiTheme="minorBidi" w:eastAsiaTheme="minorEastAsia" w:hAnsiTheme="minorBidi" w:cstheme="minorBidi"/>
      <w:b/>
      <w:bCs/>
      <w:color w:val="000000"/>
      <w:sz w:val="22"/>
      <w:szCs w:val="22"/>
      <w:lang w:val="en-US" w:eastAsia="zh-CN"/>
    </w:rPr>
  </w:style>
  <w:style w:type="paragraph" w:customStyle="1" w:styleId="EX4texte">
    <w:name w:val="EX4 texte"/>
    <w:basedOn w:val="Normal"/>
    <w:link w:val="EX4texteChar"/>
    <w:autoRedefine/>
    <w:qFormat/>
    <w:rsid w:val="00AA2CD5"/>
    <w:pPr>
      <w:numPr>
        <w:numId w:val="29"/>
      </w:numPr>
      <w:tabs>
        <w:tab w:val="clear" w:pos="567"/>
        <w:tab w:val="left" w:pos="854"/>
      </w:tabs>
      <w:spacing w:after="240"/>
      <w:ind w:left="0" w:firstLine="0"/>
      <w:jc w:val="both"/>
    </w:pPr>
    <w:rPr>
      <w:rFonts w:asciiTheme="minorBidi" w:eastAsia="SimSun" w:hAnsiTheme="minorBidi" w:cstheme="minorBidi"/>
      <w:shd w:val="clear" w:color="auto" w:fill="FFFFFF"/>
      <w:lang w:val="en-IN" w:eastAsia="zh-CN"/>
    </w:rPr>
  </w:style>
  <w:style w:type="character" w:customStyle="1" w:styleId="EX4texteChar">
    <w:name w:val="EX4 texte Char"/>
    <w:basedOn w:val="DefaultParagraphFont"/>
    <w:link w:val="EX4texte"/>
    <w:rsid w:val="00AA2CD5"/>
    <w:rPr>
      <w:rFonts w:asciiTheme="minorBidi" w:eastAsia="SimSun" w:hAnsiTheme="minorBidi" w:cstheme="minorBidi"/>
      <w:snapToGrid w:val="0"/>
      <w:sz w:val="22"/>
      <w:szCs w:val="24"/>
      <w:lang w:val="en-IN" w:eastAsia="zh-CN"/>
    </w:rPr>
  </w:style>
  <w:style w:type="character" w:customStyle="1" w:styleId="ListParagraphChar">
    <w:name w:val="List Paragraph Char"/>
    <w:aliases w:val="ADB List Paragraph Char,Dot pt Char,List Paragraph Char Char Char Char,Indicator Text Char,List Paragraph1 Char,Numbered Para 1 Char,List Paragraph12 Char,Bullet Points Char,MAIN CONTENT Char,Bullet 1 Char,Light Grid - Accent 31 Char"/>
    <w:basedOn w:val="DefaultParagraphFont"/>
    <w:link w:val="ListParagraph"/>
    <w:uiPriority w:val="34"/>
    <w:qFormat/>
    <w:locked/>
    <w:rsid w:val="00741CAA"/>
    <w:rPr>
      <w:sz w:val="24"/>
      <w:lang w:val="en-GB" w:eastAsia="en-US"/>
    </w:rPr>
  </w:style>
  <w:style w:type="character" w:styleId="UnresolvedMention">
    <w:name w:val="Unresolved Mention"/>
    <w:basedOn w:val="DefaultParagraphFont"/>
    <w:uiPriority w:val="99"/>
    <w:semiHidden/>
    <w:unhideWhenUsed/>
    <w:rsid w:val="00723A8F"/>
    <w:rPr>
      <w:color w:val="605E5C"/>
      <w:shd w:val="clear" w:color="auto" w:fill="E1DFDD"/>
    </w:rPr>
  </w:style>
  <w:style w:type="character" w:customStyle="1" w:styleId="apple-converted-space">
    <w:name w:val="apple-converted-space"/>
    <w:basedOn w:val="DefaultParagraphFont"/>
    <w:rsid w:val="003E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71272">
      <w:bodyDiv w:val="1"/>
      <w:marLeft w:val="0"/>
      <w:marRight w:val="0"/>
      <w:marTop w:val="0"/>
      <w:marBottom w:val="0"/>
      <w:divBdr>
        <w:top w:val="none" w:sz="0" w:space="0" w:color="auto"/>
        <w:left w:val="none" w:sz="0" w:space="0" w:color="auto"/>
        <w:bottom w:val="none" w:sz="0" w:space="0" w:color="auto"/>
        <w:right w:val="none" w:sz="0" w:space="0" w:color="auto"/>
      </w:divBdr>
    </w:div>
    <w:div w:id="967511557">
      <w:bodyDiv w:val="1"/>
      <w:marLeft w:val="0"/>
      <w:marRight w:val="0"/>
      <w:marTop w:val="0"/>
      <w:marBottom w:val="0"/>
      <w:divBdr>
        <w:top w:val="none" w:sz="0" w:space="0" w:color="auto"/>
        <w:left w:val="none" w:sz="0" w:space="0" w:color="auto"/>
        <w:bottom w:val="none" w:sz="0" w:space="0" w:color="auto"/>
        <w:right w:val="none" w:sz="0" w:space="0" w:color="auto"/>
      </w:divBdr>
    </w:div>
    <w:div w:id="1039205159">
      <w:bodyDiv w:val="1"/>
      <w:marLeft w:val="0"/>
      <w:marRight w:val="0"/>
      <w:marTop w:val="0"/>
      <w:marBottom w:val="0"/>
      <w:divBdr>
        <w:top w:val="none" w:sz="0" w:space="0" w:color="auto"/>
        <w:left w:val="none" w:sz="0" w:space="0" w:color="auto"/>
        <w:bottom w:val="none" w:sz="0" w:space="0" w:color="auto"/>
        <w:right w:val="none" w:sz="0" w:space="0" w:color="auto"/>
      </w:divBdr>
    </w:div>
    <w:div w:id="1262372144">
      <w:bodyDiv w:val="1"/>
      <w:marLeft w:val="0"/>
      <w:marRight w:val="0"/>
      <w:marTop w:val="0"/>
      <w:marBottom w:val="0"/>
      <w:divBdr>
        <w:top w:val="none" w:sz="0" w:space="0" w:color="auto"/>
        <w:left w:val="none" w:sz="0" w:space="0" w:color="auto"/>
        <w:bottom w:val="none" w:sz="0" w:space="0" w:color="auto"/>
        <w:right w:val="none" w:sz="0" w:space="0" w:color="auto"/>
      </w:divBdr>
      <w:divsChild>
        <w:div w:id="1632514827">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354431328">
                  <w:marLeft w:val="0"/>
                  <w:marRight w:val="0"/>
                  <w:marTop w:val="0"/>
                  <w:marBottom w:val="0"/>
                  <w:divBdr>
                    <w:top w:val="none" w:sz="0" w:space="0" w:color="auto"/>
                    <w:left w:val="none" w:sz="0" w:space="0" w:color="auto"/>
                    <w:bottom w:val="none" w:sz="0" w:space="0" w:color="auto"/>
                    <w:right w:val="none" w:sz="0" w:space="0" w:color="auto"/>
                  </w:divBdr>
                  <w:divsChild>
                    <w:div w:id="983463828">
                      <w:marLeft w:val="0"/>
                      <w:marRight w:val="0"/>
                      <w:marTop w:val="0"/>
                      <w:marBottom w:val="0"/>
                      <w:divBdr>
                        <w:top w:val="none" w:sz="0" w:space="0" w:color="auto"/>
                        <w:left w:val="none" w:sz="0" w:space="0" w:color="auto"/>
                        <w:bottom w:val="none" w:sz="0" w:space="0" w:color="auto"/>
                        <w:right w:val="none" w:sz="0" w:space="0" w:color="auto"/>
                      </w:divBdr>
                      <w:divsChild>
                        <w:div w:id="1411585410">
                          <w:marLeft w:val="0"/>
                          <w:marRight w:val="0"/>
                          <w:marTop w:val="0"/>
                          <w:marBottom w:val="0"/>
                          <w:divBdr>
                            <w:top w:val="none" w:sz="0" w:space="0" w:color="auto"/>
                            <w:left w:val="none" w:sz="0" w:space="0" w:color="auto"/>
                            <w:bottom w:val="none" w:sz="0" w:space="0" w:color="auto"/>
                            <w:right w:val="none" w:sz="0" w:space="0" w:color="auto"/>
                          </w:divBdr>
                          <w:divsChild>
                            <w:div w:id="414864722">
                              <w:marLeft w:val="0"/>
                              <w:marRight w:val="0"/>
                              <w:marTop w:val="0"/>
                              <w:marBottom w:val="0"/>
                              <w:divBdr>
                                <w:top w:val="none" w:sz="0" w:space="0" w:color="auto"/>
                                <w:left w:val="none" w:sz="0" w:space="0" w:color="auto"/>
                                <w:bottom w:val="none" w:sz="0" w:space="0" w:color="auto"/>
                                <w:right w:val="none" w:sz="0" w:space="0" w:color="auto"/>
                              </w:divBdr>
                              <w:divsChild>
                                <w:div w:id="1162548900">
                                  <w:marLeft w:val="0"/>
                                  <w:marRight w:val="0"/>
                                  <w:marTop w:val="0"/>
                                  <w:marBottom w:val="0"/>
                                  <w:divBdr>
                                    <w:top w:val="none" w:sz="0" w:space="0" w:color="auto"/>
                                    <w:left w:val="none" w:sz="0" w:space="0" w:color="auto"/>
                                    <w:bottom w:val="none" w:sz="0" w:space="0" w:color="auto"/>
                                    <w:right w:val="none" w:sz="0" w:space="0" w:color="auto"/>
                                  </w:divBdr>
                                  <w:divsChild>
                                    <w:div w:id="748691860">
                                      <w:marLeft w:val="0"/>
                                      <w:marRight w:val="0"/>
                                      <w:marTop w:val="0"/>
                                      <w:marBottom w:val="0"/>
                                      <w:divBdr>
                                        <w:top w:val="none" w:sz="0" w:space="0" w:color="auto"/>
                                        <w:left w:val="none" w:sz="0" w:space="0" w:color="auto"/>
                                        <w:bottom w:val="none" w:sz="0" w:space="0" w:color="auto"/>
                                        <w:right w:val="none" w:sz="0" w:space="0" w:color="auto"/>
                                      </w:divBdr>
                                      <w:divsChild>
                                        <w:div w:id="1711758340">
                                          <w:marLeft w:val="0"/>
                                          <w:marRight w:val="0"/>
                                          <w:marTop w:val="0"/>
                                          <w:marBottom w:val="0"/>
                                          <w:divBdr>
                                            <w:top w:val="none" w:sz="0" w:space="0" w:color="auto"/>
                                            <w:left w:val="none" w:sz="0" w:space="0" w:color="auto"/>
                                            <w:bottom w:val="none" w:sz="0" w:space="0" w:color="auto"/>
                                            <w:right w:val="none" w:sz="0" w:space="0" w:color="auto"/>
                                          </w:divBdr>
                                          <w:divsChild>
                                            <w:div w:id="1064837832">
                                              <w:marLeft w:val="0"/>
                                              <w:marRight w:val="0"/>
                                              <w:marTop w:val="0"/>
                                              <w:marBottom w:val="0"/>
                                              <w:divBdr>
                                                <w:top w:val="single" w:sz="6" w:space="4" w:color="B6B6B6"/>
                                                <w:left w:val="single" w:sz="6" w:space="4" w:color="B6B6B6"/>
                                                <w:bottom w:val="single" w:sz="6" w:space="4" w:color="B6B6B6"/>
                                                <w:right w:val="single" w:sz="6" w:space="4" w:color="B6B6B6"/>
                                              </w:divBdr>
                                            </w:div>
                                          </w:divsChild>
                                        </w:div>
                                      </w:divsChild>
                                    </w:div>
                                  </w:divsChild>
                                </w:div>
                              </w:divsChild>
                            </w:div>
                          </w:divsChild>
                        </w:div>
                      </w:divsChild>
                    </w:div>
                  </w:divsChild>
                </w:div>
              </w:divsChild>
            </w:div>
          </w:divsChild>
        </w:div>
      </w:divsChild>
    </w:div>
    <w:div w:id="1649632432">
      <w:bodyDiv w:val="1"/>
      <w:marLeft w:val="0"/>
      <w:marRight w:val="0"/>
      <w:marTop w:val="0"/>
      <w:marBottom w:val="0"/>
      <w:divBdr>
        <w:top w:val="none" w:sz="0" w:space="0" w:color="auto"/>
        <w:left w:val="none" w:sz="0" w:space="0" w:color="auto"/>
        <w:bottom w:val="none" w:sz="0" w:space="0" w:color="auto"/>
        <w:right w:val="none" w:sz="0" w:space="0" w:color="auto"/>
      </w:divBdr>
    </w:div>
    <w:div w:id="1724788306">
      <w:bodyDiv w:val="1"/>
      <w:marLeft w:val="0"/>
      <w:marRight w:val="0"/>
      <w:marTop w:val="0"/>
      <w:marBottom w:val="0"/>
      <w:divBdr>
        <w:top w:val="none" w:sz="0" w:space="0" w:color="auto"/>
        <w:left w:val="none" w:sz="0" w:space="0" w:color="auto"/>
        <w:bottom w:val="none" w:sz="0" w:space="0" w:color="auto"/>
        <w:right w:val="none" w:sz="0" w:space="0" w:color="auto"/>
      </w:divBdr>
    </w:div>
    <w:div w:id="18283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96" TargetMode="External"/><Relationship Id="rId13" Type="http://schemas.openxmlformats.org/officeDocument/2006/relationships/hyperlink" Target="https://unesdoc.unesco.org/ark:/48223/pf0000375265.locale=e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nesdoc.unesco.org/ark:/48223/pf0000259086.locale=en" TargetMode="External"/><Relationship Id="rId2" Type="http://schemas.openxmlformats.org/officeDocument/2006/relationships/numbering" Target="numbering.xml"/><Relationship Id="rId16" Type="http://schemas.openxmlformats.org/officeDocument/2006/relationships/hyperlink" Target="https://unesdoc.unesco.org/ark:/48223/pf0000390082.locale=e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nesdoc.unesco.org/ark:/48223/pf0000381388.locale=en"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oceanexpert.org/document/36272" TargetMode="External"/><Relationship Id="rId14" Type="http://schemas.openxmlformats.org/officeDocument/2006/relationships/hyperlink" Target="https://unesdoc.unesco.org/ark:/48223/pf0000390126.locale=e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18B0-5666-440B-8D2F-95A639E105B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Template WD-IOC27.dotx</Template>
  <TotalTime>93</TotalTime>
  <Pages>10</Pages>
  <Words>2192</Words>
  <Characters>14133</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4</cp:revision>
  <cp:lastPrinted>2025-04-16T20:08:00Z</cp:lastPrinted>
  <dcterms:created xsi:type="dcterms:W3CDTF">2025-05-19T15:02:00Z</dcterms:created>
  <dcterms:modified xsi:type="dcterms:W3CDTF">2025-05-19T17:02:00Z</dcterms:modified>
</cp:coreProperties>
</file>