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C6F15" w14:textId="77777777" w:rsidR="00EB3895" w:rsidRDefault="00EB3895" w:rsidP="00EB3895">
      <w:pPr>
        <w:pStyle w:val="Heading1"/>
        <w:spacing w:before="480"/>
        <w:jc w:val="left"/>
      </w:pPr>
    </w:p>
    <w:p w14:paraId="748272EF" w14:textId="435004E9" w:rsidR="00EB3895" w:rsidRPr="00EB3895" w:rsidRDefault="00EB3895" w:rsidP="001C5D1C">
      <w:pPr>
        <w:pStyle w:val="Heading1"/>
        <w:tabs>
          <w:tab w:val="clear" w:pos="567"/>
        </w:tabs>
        <w:spacing w:before="1800" w:after="0"/>
      </w:pPr>
      <w:r w:rsidRPr="00EB3895">
        <w:t xml:space="preserve">COMMISSION OCÉANOGRAPHIQUE </w:t>
      </w:r>
      <w:r w:rsidR="00DA71B9">
        <w:t>I</w:t>
      </w:r>
      <w:r w:rsidRPr="00EB3895">
        <w:t>NTERGOUVERNEMENTALE</w:t>
      </w:r>
    </w:p>
    <w:p w14:paraId="0F1DC779" w14:textId="19FB8764" w:rsidR="00EB3895" w:rsidRPr="00EB3895" w:rsidRDefault="00EB3895" w:rsidP="00EB3895">
      <w:pPr>
        <w:jc w:val="center"/>
        <w:rPr>
          <w:bCs/>
        </w:rPr>
      </w:pPr>
      <w:r w:rsidRPr="00EB3895">
        <w:rPr>
          <w:bCs/>
        </w:rPr>
        <w:t>(de l’UNESCO)</w:t>
      </w:r>
    </w:p>
    <w:p w14:paraId="5B0D4193" w14:textId="3AA9127A" w:rsidR="00EB3895" w:rsidRPr="00EB3895" w:rsidRDefault="000723F0" w:rsidP="00EB3895">
      <w:pPr>
        <w:spacing w:before="240"/>
        <w:jc w:val="center"/>
        <w:rPr>
          <w:b/>
        </w:rPr>
      </w:pPr>
      <w:r>
        <w:rPr>
          <w:b/>
        </w:rPr>
        <w:t>Trente-</w:t>
      </w:r>
      <w:r w:rsidR="00296D26">
        <w:rPr>
          <w:b/>
        </w:rPr>
        <w:t>troisième</w:t>
      </w:r>
      <w:r w:rsidR="00EB3895" w:rsidRPr="00EB3895">
        <w:rPr>
          <w:b/>
        </w:rPr>
        <w:t xml:space="preserve"> session </w:t>
      </w:r>
      <w:r>
        <w:rPr>
          <w:b/>
        </w:rPr>
        <w:t>de l’Assemblée</w:t>
      </w:r>
      <w:r w:rsidR="00EB3895">
        <w:rPr>
          <w:b/>
        </w:rPr>
        <w:br/>
      </w:r>
      <w:r w:rsidR="00EB3895" w:rsidRPr="00EB3895">
        <w:rPr>
          <w:bCs/>
        </w:rPr>
        <w:t xml:space="preserve">UNESCO, Paris, </w:t>
      </w:r>
      <w:r>
        <w:rPr>
          <w:bCs/>
        </w:rPr>
        <w:t>2</w:t>
      </w:r>
      <w:r w:rsidR="00296D26">
        <w:rPr>
          <w:bCs/>
        </w:rPr>
        <w:t xml:space="preserve">5 juin – </w:t>
      </w:r>
      <w:r>
        <w:rPr>
          <w:bCs/>
        </w:rPr>
        <w:t>3</w:t>
      </w:r>
      <w:r w:rsidR="00EB3895" w:rsidRPr="00EB3895">
        <w:rPr>
          <w:bCs/>
        </w:rPr>
        <w:t xml:space="preserve"> ju</w:t>
      </w:r>
      <w:r w:rsidR="00296D26">
        <w:rPr>
          <w:bCs/>
        </w:rPr>
        <w:t>illet</w:t>
      </w:r>
      <w:r w:rsidR="00EB3895" w:rsidRPr="00EB3895">
        <w:rPr>
          <w:bCs/>
        </w:rPr>
        <w:t xml:space="preserve"> 202</w:t>
      </w:r>
      <w:r w:rsidR="00296D26">
        <w:rPr>
          <w:bCs/>
        </w:rPr>
        <w:t>5</w:t>
      </w:r>
    </w:p>
    <w:p w14:paraId="607D1C93" w14:textId="48394D70" w:rsidR="00EB3895" w:rsidRPr="00EB3895" w:rsidRDefault="00EB3895" w:rsidP="00F85B2D">
      <w:pPr>
        <w:pStyle w:val="Heading1"/>
        <w:spacing w:before="360" w:after="360"/>
      </w:pPr>
      <w:r w:rsidRPr="00EB3895">
        <w:t>ORDRE DU JOUR PROVISOIRE</w:t>
      </w:r>
      <w:r w:rsidR="00F960DA">
        <w:t xml:space="preserve"> RÉVISÉ</w:t>
      </w:r>
    </w:p>
    <w:p w14:paraId="4D532EDB" w14:textId="17F0600A" w:rsidR="00B2519D" w:rsidRPr="003D5587" w:rsidRDefault="00B2519D" w:rsidP="00B2519D">
      <w:pPr>
        <w:spacing w:after="240"/>
        <w:rPr>
          <w:rFonts w:eastAsia="Times New Roman" w:cs="Arial"/>
          <w:b/>
          <w:bCs/>
          <w:szCs w:val="22"/>
          <w:lang w:eastAsia="en-US"/>
        </w:rPr>
      </w:pPr>
      <w:r w:rsidRPr="003D5587">
        <w:rPr>
          <w:rFonts w:eastAsia="Times New Roman" w:cs="Arial"/>
          <w:b/>
          <w:bCs/>
          <w:szCs w:val="22"/>
          <w:lang w:eastAsia="en-US"/>
        </w:rPr>
        <w:t>1.</w:t>
      </w:r>
      <w:r w:rsidRPr="003D5587">
        <w:rPr>
          <w:rFonts w:eastAsia="Times New Roman" w:cs="Arial"/>
          <w:b/>
          <w:bCs/>
          <w:szCs w:val="22"/>
          <w:lang w:eastAsia="en-US"/>
        </w:rPr>
        <w:tab/>
        <w:t>OUVERTURE</w:t>
      </w:r>
    </w:p>
    <w:p w14:paraId="0B3972B6" w14:textId="6677E3A7" w:rsidR="00B2519D" w:rsidRPr="003D5587" w:rsidRDefault="00B2519D" w:rsidP="00B2519D">
      <w:pPr>
        <w:spacing w:after="240"/>
        <w:rPr>
          <w:rFonts w:eastAsia="Times New Roman" w:cs="Arial"/>
          <w:b/>
          <w:bCs/>
          <w:szCs w:val="22"/>
          <w:lang w:eastAsia="en-US"/>
        </w:rPr>
      </w:pPr>
      <w:bookmarkStart w:id="0" w:name="_Toc141510526"/>
      <w:r w:rsidRPr="003D5587">
        <w:rPr>
          <w:rFonts w:eastAsia="Times New Roman" w:cs="Arial"/>
          <w:b/>
          <w:bCs/>
          <w:szCs w:val="22"/>
          <w:lang w:eastAsia="en-US"/>
        </w:rPr>
        <w:t>2.</w:t>
      </w:r>
      <w:r w:rsidRPr="003D5587">
        <w:rPr>
          <w:rFonts w:eastAsia="Times New Roman" w:cs="Arial"/>
          <w:b/>
          <w:bCs/>
          <w:szCs w:val="22"/>
          <w:lang w:eastAsia="en-US"/>
        </w:rPr>
        <w:tab/>
        <w:t>ORGANISATION DE LA SESSION</w:t>
      </w:r>
      <w:bookmarkEnd w:id="0"/>
    </w:p>
    <w:p w14:paraId="3AB7FF1F" w14:textId="49E6AE5C" w:rsidR="000723F0" w:rsidRPr="000723F0" w:rsidRDefault="003C5CD1" w:rsidP="000C3822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2.1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ADOPTION DE L’ORDRE DU JOUR </w:t>
      </w:r>
      <w:r w:rsidR="000723F0" w:rsidRPr="000723F0">
        <w:rPr>
          <w:rFonts w:eastAsia="Times New Roman" w:cs="Arial"/>
          <w:szCs w:val="22"/>
          <w:lang w:eastAsia="en-US"/>
        </w:rPr>
        <w:br/>
      </w:r>
      <w:r w:rsidR="000C3822" w:rsidRPr="0022046B">
        <w:rPr>
          <w:rFonts w:eastAsia="Times New Roman" w:cs="Arial"/>
          <w:sz w:val="20"/>
          <w:szCs w:val="20"/>
          <w:lang w:val="fr" w:eastAsia="en-US"/>
        </w:rPr>
        <w:t>[Article 45 du Règlement intérieur]</w:t>
      </w:r>
    </w:p>
    <w:p w14:paraId="3FC32EB0" w14:textId="71D33044" w:rsidR="000723F0" w:rsidRPr="000723F0" w:rsidRDefault="003C5CD1" w:rsidP="003C5CD1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2.2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DÉSIGNATION DU RAPPORTEUR </w:t>
      </w:r>
      <w:r w:rsidR="000723F0" w:rsidRPr="000723F0">
        <w:rPr>
          <w:rFonts w:eastAsia="Times New Roman" w:cs="Arial"/>
          <w:szCs w:val="22"/>
          <w:lang w:eastAsia="en-US"/>
        </w:rPr>
        <w:br/>
      </w:r>
      <w:r w:rsidR="000723F0" w:rsidRPr="0022046B">
        <w:rPr>
          <w:rFonts w:eastAsia="Times New Roman" w:cs="Arial"/>
          <w:sz w:val="20"/>
          <w:szCs w:val="20"/>
          <w:lang w:eastAsia="en-US"/>
        </w:rPr>
        <w:t>[Article </w:t>
      </w:r>
      <w:r w:rsidR="000C3822" w:rsidRPr="0022046B">
        <w:rPr>
          <w:rFonts w:eastAsia="Times New Roman" w:cs="Arial"/>
          <w:sz w:val="20"/>
          <w:szCs w:val="20"/>
          <w:lang w:eastAsia="en-US"/>
        </w:rPr>
        <w:t>8</w:t>
      </w:r>
      <w:r w:rsidR="000723F0" w:rsidRPr="0022046B">
        <w:rPr>
          <w:rFonts w:eastAsia="Times New Roman" w:cs="Arial"/>
          <w:sz w:val="20"/>
          <w:szCs w:val="20"/>
          <w:lang w:eastAsia="en-US"/>
        </w:rPr>
        <w:t>.4 du Règlement intérieur]</w:t>
      </w:r>
    </w:p>
    <w:p w14:paraId="3DE2FB64" w14:textId="3AF4BD03" w:rsidR="000723F0" w:rsidRPr="000723F0" w:rsidRDefault="003C5CD1" w:rsidP="003C5CD1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2.3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ÉTABLISSEMENT DES COMITÉS ET GROUPES DE TRAVAIL </w:t>
      </w:r>
      <w:r w:rsidR="000C3822">
        <w:rPr>
          <w:rFonts w:eastAsia="Times New Roman" w:cs="Arial"/>
          <w:szCs w:val="22"/>
          <w:lang w:eastAsia="en-US"/>
        </w:rPr>
        <w:br/>
      </w:r>
      <w:r w:rsidR="000723F0" w:rsidRPr="000723F0">
        <w:rPr>
          <w:rFonts w:eastAsia="Times New Roman" w:cs="Arial"/>
          <w:szCs w:val="22"/>
          <w:lang w:eastAsia="en-US"/>
        </w:rPr>
        <w:t xml:space="preserve">POUR LA DURÉE DE LA SESSION </w:t>
      </w:r>
      <w:r w:rsidR="000723F0" w:rsidRPr="000723F0">
        <w:rPr>
          <w:rFonts w:eastAsia="Times New Roman" w:cs="Arial"/>
          <w:szCs w:val="22"/>
          <w:lang w:eastAsia="en-US"/>
        </w:rPr>
        <w:br/>
      </w:r>
      <w:r w:rsidR="000723F0" w:rsidRPr="0022046B">
        <w:rPr>
          <w:rFonts w:eastAsia="Times New Roman" w:cs="Arial"/>
          <w:sz w:val="20"/>
          <w:szCs w:val="20"/>
          <w:lang w:eastAsia="en-US"/>
        </w:rPr>
        <w:t>[Article </w:t>
      </w:r>
      <w:r w:rsidR="000C3822" w:rsidRPr="0022046B">
        <w:rPr>
          <w:rFonts w:eastAsia="Times New Roman" w:cs="Arial"/>
          <w:sz w:val="20"/>
          <w:szCs w:val="20"/>
          <w:lang w:eastAsia="en-US"/>
        </w:rPr>
        <w:t>49</w:t>
      </w:r>
      <w:r w:rsidR="000723F0" w:rsidRPr="0022046B">
        <w:rPr>
          <w:rFonts w:eastAsia="Times New Roman" w:cs="Arial"/>
          <w:sz w:val="20"/>
          <w:szCs w:val="20"/>
          <w:lang w:eastAsia="en-US"/>
        </w:rPr>
        <w:t xml:space="preserve"> du Règlement intérieur]</w:t>
      </w:r>
    </w:p>
    <w:p w14:paraId="47D302EB" w14:textId="4656E035" w:rsidR="000723F0" w:rsidRPr="000723F0" w:rsidRDefault="003C5CD1" w:rsidP="000C3822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2.4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>PRÉSENTATION DU CALENDRIER</w:t>
      </w:r>
      <w:r w:rsidR="000C3822">
        <w:rPr>
          <w:rFonts w:eastAsia="Times New Roman" w:cs="Arial"/>
          <w:szCs w:val="22"/>
          <w:lang w:eastAsia="en-US"/>
        </w:rPr>
        <w:t>, DE LA</w:t>
      </w:r>
      <w:r w:rsidR="000723F0" w:rsidRPr="000723F0">
        <w:rPr>
          <w:rFonts w:eastAsia="Times New Roman" w:cs="Arial"/>
          <w:szCs w:val="22"/>
          <w:lang w:eastAsia="en-US"/>
        </w:rPr>
        <w:t xml:space="preserve"> DOCUMENTATION</w:t>
      </w:r>
      <w:r w:rsidR="00F960DA">
        <w:rPr>
          <w:rFonts w:eastAsia="Times New Roman" w:cs="Arial"/>
          <w:szCs w:val="22"/>
          <w:lang w:eastAsia="en-US"/>
        </w:rPr>
        <w:t xml:space="preserve"> </w:t>
      </w:r>
      <w:r w:rsidR="000C3822">
        <w:rPr>
          <w:rFonts w:eastAsia="Times New Roman" w:cs="Arial"/>
          <w:szCs w:val="22"/>
          <w:lang w:eastAsia="en-US"/>
        </w:rPr>
        <w:br/>
      </w:r>
      <w:r w:rsidR="00F960DA">
        <w:rPr>
          <w:rFonts w:eastAsia="Times New Roman" w:cs="Arial"/>
          <w:szCs w:val="22"/>
          <w:lang w:eastAsia="en-US"/>
        </w:rPr>
        <w:t xml:space="preserve">ET </w:t>
      </w:r>
      <w:r w:rsidR="000C3822">
        <w:rPr>
          <w:rFonts w:eastAsia="Times New Roman" w:cs="Arial"/>
          <w:szCs w:val="22"/>
          <w:lang w:eastAsia="en-US"/>
        </w:rPr>
        <w:t xml:space="preserve">DES </w:t>
      </w:r>
      <w:r w:rsidR="00F960DA">
        <w:rPr>
          <w:rFonts w:eastAsia="Times New Roman" w:cs="Arial"/>
          <w:szCs w:val="22"/>
          <w:lang w:eastAsia="en-US"/>
        </w:rPr>
        <w:t>CONFÉRENCES COMMÉMORATIVES DE LA COI</w:t>
      </w:r>
      <w:r w:rsidR="000723F0" w:rsidRPr="000723F0">
        <w:rPr>
          <w:rFonts w:eastAsia="Times New Roman" w:cs="Arial"/>
          <w:szCs w:val="22"/>
          <w:lang w:eastAsia="en-US"/>
        </w:rPr>
        <w:t xml:space="preserve"> </w:t>
      </w:r>
      <w:r w:rsidR="000723F0" w:rsidRPr="000723F0">
        <w:rPr>
          <w:rFonts w:eastAsia="Times New Roman" w:cs="Arial"/>
          <w:szCs w:val="22"/>
          <w:lang w:eastAsia="en-US"/>
        </w:rPr>
        <w:br/>
      </w:r>
      <w:r w:rsidR="000C3822" w:rsidRPr="0022046B">
        <w:rPr>
          <w:rFonts w:eastAsia="Times New Roman" w:cs="Arial"/>
          <w:sz w:val="20"/>
          <w:szCs w:val="20"/>
          <w:lang w:val="fr" w:eastAsia="en-US"/>
        </w:rPr>
        <w:t>[Article 48 du Règlement intérieur ; Déc. EC-55/5.3 ; Déc. A-31/3.2]</w:t>
      </w:r>
    </w:p>
    <w:p w14:paraId="4B28F1EA" w14:textId="4357AF17" w:rsidR="000723F0" w:rsidRPr="000723F0" w:rsidRDefault="003C5CD1" w:rsidP="003C5CD1">
      <w:pPr>
        <w:tabs>
          <w:tab w:val="clear" w:pos="567"/>
          <w:tab w:val="left" w:pos="-737"/>
          <w:tab w:val="left" w:pos="1134"/>
        </w:tabs>
        <w:spacing w:after="240"/>
        <w:ind w:left="567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3.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>QUESTIONS LIÉES À LA COI ET RAPPORTS</w:t>
      </w:r>
    </w:p>
    <w:p w14:paraId="7CD5875B" w14:textId="42108E93" w:rsidR="000723F0" w:rsidRPr="000723F0" w:rsidRDefault="003C5CD1" w:rsidP="003C5CD1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3.1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DÉCLARATION DU PRÉSIDENT </w:t>
      </w:r>
      <w:r w:rsidR="000723F0" w:rsidRPr="000723F0">
        <w:rPr>
          <w:rFonts w:eastAsia="Times New Roman" w:cs="Arial"/>
          <w:szCs w:val="22"/>
          <w:lang w:eastAsia="en-US"/>
        </w:rPr>
        <w:br/>
      </w:r>
      <w:r w:rsidR="000723F0" w:rsidRPr="00034BC3">
        <w:rPr>
          <w:rFonts w:eastAsia="Times New Roman" w:cs="Arial"/>
          <w:sz w:val="20"/>
          <w:szCs w:val="20"/>
          <w:lang w:eastAsia="en-US"/>
        </w:rPr>
        <w:t>[Article </w:t>
      </w:r>
      <w:r w:rsidR="000C3822" w:rsidRPr="00034BC3">
        <w:rPr>
          <w:rFonts w:eastAsia="Times New Roman" w:cs="Arial"/>
          <w:sz w:val="20"/>
          <w:szCs w:val="20"/>
          <w:lang w:eastAsia="en-US"/>
        </w:rPr>
        <w:t>45</w:t>
      </w:r>
      <w:r w:rsidR="000723F0" w:rsidRPr="00034BC3">
        <w:rPr>
          <w:rFonts w:eastAsia="Times New Roman" w:cs="Arial"/>
          <w:sz w:val="20"/>
          <w:szCs w:val="20"/>
          <w:lang w:eastAsia="en-US"/>
        </w:rPr>
        <w:t>.1 (a) du Règlement intérieur]</w:t>
      </w:r>
    </w:p>
    <w:p w14:paraId="26B696BC" w14:textId="46060E65" w:rsidR="000723F0" w:rsidRPr="000723F0" w:rsidRDefault="003C5CD1" w:rsidP="000C3822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3.2</w:t>
      </w:r>
      <w:r>
        <w:rPr>
          <w:rFonts w:eastAsia="Times New Roman" w:cs="Arial"/>
          <w:szCs w:val="22"/>
          <w:lang w:eastAsia="en-US"/>
        </w:rPr>
        <w:tab/>
      </w:r>
      <w:r w:rsidR="000C3822">
        <w:rPr>
          <w:rFonts w:cs="Arial"/>
          <w:szCs w:val="22"/>
          <w:lang w:val="fr"/>
        </w:rPr>
        <w:t xml:space="preserve">RAPPORT DU SECRÉTAIRE EXÉCUTIF SUR LES TRAVAUX </w:t>
      </w:r>
      <w:r w:rsidR="000C3822">
        <w:rPr>
          <w:rFonts w:cs="Arial"/>
          <w:szCs w:val="22"/>
          <w:lang w:val="fr"/>
        </w:rPr>
        <w:br/>
        <w:t>ACCOMPLIS DEPUIS LA TRENTE-DEUXIÈME SESSION DE L’ASSEMBLÉE</w:t>
      </w:r>
      <w:r w:rsidR="000723F0" w:rsidRPr="000723F0">
        <w:rPr>
          <w:rFonts w:eastAsia="Times New Roman" w:cs="Arial"/>
          <w:szCs w:val="22"/>
          <w:lang w:eastAsia="en-US"/>
        </w:rPr>
        <w:t xml:space="preserve"> </w:t>
      </w:r>
      <w:r w:rsidR="000723F0" w:rsidRPr="000723F0">
        <w:rPr>
          <w:rFonts w:eastAsia="Times New Roman" w:cs="Arial"/>
          <w:szCs w:val="22"/>
          <w:lang w:eastAsia="en-US"/>
        </w:rPr>
        <w:br/>
      </w:r>
      <w:r w:rsidR="000C3822" w:rsidRPr="00034BC3">
        <w:rPr>
          <w:rFonts w:eastAsia="Times New Roman" w:cs="Arial"/>
          <w:sz w:val="20"/>
          <w:szCs w:val="20"/>
          <w:lang w:val="fr" w:eastAsia="en-US"/>
        </w:rPr>
        <w:t>[Article 45.1(b)(c)(g), 31]</w:t>
      </w:r>
    </w:p>
    <w:p w14:paraId="45C17AB2" w14:textId="2E0A7B07" w:rsidR="000723F0" w:rsidRPr="000723F0" w:rsidRDefault="003C5CD1" w:rsidP="003C5CD1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3.3</w:t>
      </w:r>
      <w:r>
        <w:rPr>
          <w:rFonts w:eastAsia="Times New Roman" w:cs="Arial"/>
          <w:szCs w:val="22"/>
          <w:lang w:eastAsia="en-US"/>
        </w:rPr>
        <w:tab/>
      </w:r>
      <w:r w:rsidR="00876C39">
        <w:rPr>
          <w:rFonts w:cs="Arial"/>
          <w:szCs w:val="22"/>
          <w:lang w:val="fr"/>
        </w:rPr>
        <w:t>RAPPORTS DES SOUS-COMMISSIONS DE LA COI</w:t>
      </w:r>
      <w:r w:rsidR="000723F0" w:rsidRPr="000723F0">
        <w:rPr>
          <w:rFonts w:eastAsia="Times New Roman" w:cs="Arial"/>
          <w:spacing w:val="-2"/>
          <w:szCs w:val="22"/>
          <w:lang w:eastAsia="en-US"/>
        </w:rPr>
        <w:t xml:space="preserve"> </w:t>
      </w:r>
      <w:r w:rsidR="000723F0" w:rsidRPr="000723F0">
        <w:rPr>
          <w:rFonts w:eastAsia="Times New Roman" w:cs="Arial"/>
          <w:szCs w:val="22"/>
          <w:lang w:eastAsia="en-US"/>
        </w:rPr>
        <w:br/>
      </w:r>
      <w:r w:rsidR="00876C39">
        <w:rPr>
          <w:rFonts w:cs="Arial"/>
          <w:sz w:val="20"/>
          <w:szCs w:val="20"/>
          <w:lang w:val="fr"/>
        </w:rPr>
        <w:t>[Article 30.3 du Règlement intérieur]</w:t>
      </w:r>
    </w:p>
    <w:p w14:paraId="2A8CD4AF" w14:textId="79CFE300" w:rsidR="000723F0" w:rsidRPr="000723F0" w:rsidRDefault="003C5CD1" w:rsidP="000D2E63">
      <w:pPr>
        <w:tabs>
          <w:tab w:val="clear" w:pos="567"/>
          <w:tab w:val="left" w:pos="-737"/>
        </w:tabs>
        <w:spacing w:after="240"/>
        <w:ind w:left="1843" w:hanging="720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3.3.1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876C39">
        <w:rPr>
          <w:rFonts w:cs="Arial"/>
          <w:b/>
          <w:bCs/>
          <w:szCs w:val="22"/>
          <w:lang w:val="fr"/>
        </w:rPr>
        <w:t>Sous-commission de la COI pour l’Afrique et les États insulaires adjacents : 8</w:t>
      </w:r>
      <w:r w:rsidR="00876C39" w:rsidRPr="004F35E6">
        <w:rPr>
          <w:rFonts w:cs="Arial"/>
          <w:b/>
          <w:bCs/>
          <w:szCs w:val="22"/>
          <w:vertAlign w:val="superscript"/>
          <w:lang w:val="fr"/>
        </w:rPr>
        <w:t>e</w:t>
      </w:r>
      <w:r w:rsidR="00876C39">
        <w:rPr>
          <w:rFonts w:cs="Arial"/>
          <w:b/>
          <w:bCs/>
          <w:szCs w:val="22"/>
          <w:lang w:val="fr"/>
        </w:rPr>
        <w:t xml:space="preserve"> session de l’IOCAFRICA, Mombasa, Kenya</w:t>
      </w:r>
      <w:r w:rsidR="00876C39">
        <w:rPr>
          <w:rFonts w:cs="Arial"/>
          <w:b/>
          <w:bCs/>
          <w:i/>
          <w:iCs/>
          <w:szCs w:val="22"/>
          <w:lang w:val="fr"/>
        </w:rPr>
        <w:t xml:space="preserve">, </w:t>
      </w:r>
      <w:r w:rsidR="00876C39">
        <w:rPr>
          <w:rFonts w:cs="Arial"/>
          <w:b/>
          <w:bCs/>
          <w:szCs w:val="22"/>
          <w:lang w:val="fr"/>
        </w:rPr>
        <w:t>7-9 mai 2025</w:t>
      </w:r>
    </w:p>
    <w:p w14:paraId="77C80521" w14:textId="47F4C2F7" w:rsidR="000723F0" w:rsidRPr="000723F0" w:rsidRDefault="003C5CD1" w:rsidP="000D2E63">
      <w:pPr>
        <w:tabs>
          <w:tab w:val="clear" w:pos="567"/>
          <w:tab w:val="left" w:pos="-737"/>
        </w:tabs>
        <w:spacing w:after="240"/>
        <w:ind w:left="1843" w:hanging="720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3.3.2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876C39">
        <w:rPr>
          <w:rFonts w:cs="Arial"/>
          <w:b/>
          <w:bCs/>
          <w:szCs w:val="22"/>
          <w:lang w:val="fr"/>
        </w:rPr>
        <w:t>Sous-commission de la COI pour le Pacifique occidental : 15</w:t>
      </w:r>
      <w:r w:rsidR="00876C39" w:rsidRPr="004F35E6">
        <w:rPr>
          <w:rFonts w:cs="Arial"/>
          <w:b/>
          <w:bCs/>
          <w:szCs w:val="22"/>
          <w:vertAlign w:val="superscript"/>
          <w:lang w:val="fr"/>
        </w:rPr>
        <w:t>e</w:t>
      </w:r>
      <w:r w:rsidR="00876C39">
        <w:rPr>
          <w:rFonts w:cs="Arial"/>
          <w:b/>
          <w:bCs/>
          <w:szCs w:val="22"/>
          <w:lang w:val="fr"/>
        </w:rPr>
        <w:t xml:space="preserve"> session</w:t>
      </w:r>
      <w:r w:rsidR="00876C39">
        <w:rPr>
          <w:rFonts w:cs="Arial"/>
          <w:b/>
          <w:bCs/>
          <w:szCs w:val="22"/>
          <w:vertAlign w:val="superscript"/>
          <w:lang w:val="fr"/>
        </w:rPr>
        <w:t xml:space="preserve"> </w:t>
      </w:r>
      <w:r w:rsidR="00876C39">
        <w:rPr>
          <w:rFonts w:cs="Arial"/>
          <w:b/>
          <w:bCs/>
          <w:szCs w:val="22"/>
          <w:lang w:val="fr"/>
        </w:rPr>
        <w:t>de WESTPAC, Tokyo, Japon, 11-13 mars 2025</w:t>
      </w:r>
    </w:p>
    <w:p w14:paraId="4F79AEBC" w14:textId="5A0B5AA7" w:rsidR="000723F0" w:rsidRPr="000723F0" w:rsidRDefault="003C5CD1" w:rsidP="00876C39">
      <w:pPr>
        <w:tabs>
          <w:tab w:val="clear" w:pos="567"/>
          <w:tab w:val="left" w:pos="-737"/>
        </w:tabs>
        <w:spacing w:after="240"/>
        <w:ind w:left="1843" w:hanging="720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3.3.3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876C39">
        <w:rPr>
          <w:rFonts w:cs="Arial"/>
          <w:b/>
          <w:bCs/>
          <w:szCs w:val="22"/>
          <w:lang w:val="fr"/>
        </w:rPr>
        <w:t>Sous-Commission de la COI pour la mer des Caraïbes et les régions adjacentes : 18</w:t>
      </w:r>
      <w:r w:rsidR="00876C39" w:rsidRPr="004F35E6">
        <w:rPr>
          <w:rFonts w:cs="Arial"/>
          <w:b/>
          <w:bCs/>
          <w:szCs w:val="22"/>
          <w:vertAlign w:val="superscript"/>
          <w:lang w:val="fr"/>
        </w:rPr>
        <w:t>e</w:t>
      </w:r>
      <w:r w:rsidR="00876C39">
        <w:rPr>
          <w:rFonts w:cs="Arial"/>
          <w:b/>
          <w:bCs/>
          <w:szCs w:val="22"/>
          <w:lang w:val="fr"/>
        </w:rPr>
        <w:t xml:space="preserve"> session de l’IOCARIBE, </w:t>
      </w:r>
      <w:r w:rsidR="00876C39" w:rsidRPr="004F7983">
        <w:rPr>
          <w:rFonts w:cs="Arial"/>
          <w:b/>
          <w:bCs/>
          <w:szCs w:val="22"/>
          <w:lang w:val="fr"/>
        </w:rPr>
        <w:t>Brasilia</w:t>
      </w:r>
      <w:r w:rsidR="00876C39">
        <w:rPr>
          <w:rFonts w:cs="Arial"/>
          <w:b/>
          <w:bCs/>
          <w:szCs w:val="22"/>
          <w:lang w:val="fr"/>
        </w:rPr>
        <w:t>, Brésil, 23-25 avril 2025</w:t>
      </w:r>
    </w:p>
    <w:p w14:paraId="0A3143EF" w14:textId="41D7E9E7" w:rsidR="000723F0" w:rsidRPr="000723F0" w:rsidRDefault="003C5CD1" w:rsidP="005D6192">
      <w:pPr>
        <w:tabs>
          <w:tab w:val="clear" w:pos="567"/>
          <w:tab w:val="left" w:pos="-737"/>
        </w:tabs>
        <w:spacing w:after="240"/>
        <w:ind w:left="1985" w:hanging="862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lastRenderedPageBreak/>
        <w:t>3.3.4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876C39">
        <w:rPr>
          <w:rFonts w:cs="Arial"/>
          <w:b/>
          <w:bCs/>
          <w:szCs w:val="22"/>
          <w:lang w:val="fr"/>
        </w:rPr>
        <w:t xml:space="preserve">Sous-commission de la COI pour l’océan Indien central : première session de l’IOCINDIO, Ras Al </w:t>
      </w:r>
      <w:proofErr w:type="spellStart"/>
      <w:r w:rsidR="00876C39">
        <w:rPr>
          <w:rFonts w:cs="Arial"/>
          <w:b/>
          <w:bCs/>
          <w:szCs w:val="22"/>
          <w:lang w:val="fr"/>
        </w:rPr>
        <w:t>Khaimah</w:t>
      </w:r>
      <w:proofErr w:type="spellEnd"/>
      <w:r w:rsidR="00876C39">
        <w:rPr>
          <w:rFonts w:cs="Arial"/>
          <w:b/>
          <w:bCs/>
          <w:szCs w:val="22"/>
          <w:lang w:val="fr"/>
        </w:rPr>
        <w:t>, Émirats arabes unis</w:t>
      </w:r>
      <w:r w:rsidR="00876C39">
        <w:rPr>
          <w:rFonts w:cs="Arial"/>
          <w:b/>
          <w:bCs/>
          <w:i/>
          <w:iCs/>
          <w:szCs w:val="22"/>
          <w:lang w:val="fr"/>
        </w:rPr>
        <w:t xml:space="preserve">, </w:t>
      </w:r>
      <w:r w:rsidR="00876C39">
        <w:rPr>
          <w:rFonts w:cs="Arial"/>
          <w:b/>
          <w:bCs/>
          <w:szCs w:val="22"/>
          <w:lang w:val="fr"/>
        </w:rPr>
        <w:t>21</w:t>
      </w:r>
      <w:r w:rsidR="00876C39">
        <w:rPr>
          <w:rFonts w:cs="Arial"/>
          <w:b/>
          <w:bCs/>
          <w:szCs w:val="22"/>
          <w:lang w:val="fr"/>
        </w:rPr>
        <w:noBreakHyphen/>
        <w:t>23 mai 2025</w:t>
      </w:r>
    </w:p>
    <w:p w14:paraId="1F07CEF0" w14:textId="573F8043" w:rsidR="000723F0" w:rsidRPr="000723F0" w:rsidRDefault="003C5CD1" w:rsidP="0032163E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3.4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RAPPORTS DES AUTRES ORGANES SUBSIDIAIRES DE LA COI </w:t>
      </w:r>
      <w:r w:rsidR="000723F0" w:rsidRPr="000723F0">
        <w:rPr>
          <w:rFonts w:eastAsia="Times New Roman" w:cs="Arial"/>
          <w:szCs w:val="22"/>
          <w:lang w:eastAsia="en-US"/>
        </w:rPr>
        <w:br/>
      </w:r>
      <w:r w:rsidR="00876C39" w:rsidRPr="002F39CA">
        <w:rPr>
          <w:rFonts w:cs="Arial"/>
          <w:sz w:val="20"/>
          <w:szCs w:val="20"/>
          <w:lang w:val="fr"/>
        </w:rPr>
        <w:t>[Article 30.3 du Règlement intérieur]</w:t>
      </w:r>
    </w:p>
    <w:p w14:paraId="099A9FFD" w14:textId="4543E729" w:rsidR="000723F0" w:rsidRPr="000723F0" w:rsidRDefault="003C5CD1" w:rsidP="005D6192">
      <w:pPr>
        <w:tabs>
          <w:tab w:val="clear" w:pos="567"/>
          <w:tab w:val="left" w:pos="-737"/>
        </w:tabs>
        <w:spacing w:after="240"/>
        <w:ind w:left="1985" w:hanging="862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3.4.1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>Systèmes d’alerte et de mitigation relatifs aux aléas océaniques</w:t>
      </w:r>
    </w:p>
    <w:p w14:paraId="0BF85560" w14:textId="024CAB08" w:rsidR="000723F0" w:rsidRPr="000723F0" w:rsidRDefault="003C5CD1" w:rsidP="005D6192">
      <w:pPr>
        <w:tabs>
          <w:tab w:val="clear" w:pos="567"/>
          <w:tab w:val="left" w:pos="-737"/>
        </w:tabs>
        <w:spacing w:after="240"/>
        <w:ind w:left="1985" w:hanging="862"/>
        <w:rPr>
          <w:rFonts w:eastAsia="Times New Roman" w:cs="Arial"/>
          <w:i/>
          <w:iCs/>
          <w:szCs w:val="22"/>
          <w:lang w:eastAsia="en-US"/>
        </w:rPr>
      </w:pPr>
      <w:r>
        <w:rPr>
          <w:rFonts w:eastAsia="Times New Roman" w:cs="Arial"/>
          <w:i/>
          <w:iCs/>
          <w:szCs w:val="22"/>
          <w:lang w:eastAsia="en-US"/>
        </w:rPr>
        <w:t>3.4.1.1</w:t>
      </w:r>
      <w:r>
        <w:rPr>
          <w:rFonts w:eastAsia="Times New Roman" w:cs="Arial"/>
          <w:i/>
          <w:iCs/>
          <w:szCs w:val="22"/>
          <w:lang w:eastAsia="en-US"/>
        </w:rPr>
        <w:tab/>
      </w:r>
      <w:r w:rsidR="000723F0" w:rsidRPr="000723F0">
        <w:rPr>
          <w:rFonts w:eastAsia="Times New Roman" w:cs="Arial"/>
          <w:i/>
          <w:iCs/>
          <w:szCs w:val="22"/>
          <w:lang w:eastAsia="en-US"/>
        </w:rPr>
        <w:t>Services régionaux d’alerte rapide</w:t>
      </w:r>
    </w:p>
    <w:p w14:paraId="50EFFAA6" w14:textId="5F15DA6A" w:rsidR="000723F0" w:rsidRPr="000723F0" w:rsidRDefault="003C5CD1" w:rsidP="005D6192">
      <w:pPr>
        <w:tabs>
          <w:tab w:val="clear" w:pos="567"/>
          <w:tab w:val="left" w:pos="-737"/>
        </w:tabs>
        <w:spacing w:after="240"/>
        <w:ind w:left="1985" w:hanging="862"/>
        <w:rPr>
          <w:rFonts w:eastAsia="Times New Roman" w:cs="Arial"/>
          <w:i/>
          <w:iCs/>
          <w:szCs w:val="22"/>
          <w:lang w:eastAsia="en-US"/>
        </w:rPr>
      </w:pPr>
      <w:r>
        <w:rPr>
          <w:rFonts w:eastAsia="Times New Roman" w:cs="Arial"/>
          <w:i/>
          <w:iCs/>
          <w:szCs w:val="22"/>
          <w:lang w:eastAsia="en-US"/>
        </w:rPr>
        <w:t>3.4.1.2</w:t>
      </w:r>
      <w:r>
        <w:rPr>
          <w:rFonts w:eastAsia="Times New Roman" w:cs="Arial"/>
          <w:i/>
          <w:iCs/>
          <w:szCs w:val="22"/>
          <w:lang w:eastAsia="en-US"/>
        </w:rPr>
        <w:tab/>
      </w:r>
      <w:r w:rsidR="000723F0" w:rsidRPr="000723F0">
        <w:rPr>
          <w:rFonts w:eastAsia="Times New Roman" w:cs="Arial"/>
          <w:i/>
          <w:iCs/>
          <w:szCs w:val="22"/>
          <w:lang w:eastAsia="en-US"/>
        </w:rPr>
        <w:t xml:space="preserve">Coordination mondiale des systèmes d’alerte et </w:t>
      </w:r>
      <w:r w:rsidR="00876C39">
        <w:rPr>
          <w:rFonts w:cs="Arial"/>
          <w:i/>
          <w:iCs/>
          <w:szCs w:val="22"/>
          <w:lang w:val="fr"/>
        </w:rPr>
        <w:t xml:space="preserve">d’atténuation des risques </w:t>
      </w:r>
      <w:r w:rsidR="00792A5B">
        <w:rPr>
          <w:rFonts w:cs="Arial"/>
          <w:i/>
          <w:iCs/>
          <w:szCs w:val="22"/>
          <w:lang w:val="fr"/>
        </w:rPr>
        <w:br/>
      </w:r>
      <w:r w:rsidR="00876C39">
        <w:rPr>
          <w:rFonts w:cs="Arial"/>
          <w:i/>
          <w:iCs/>
          <w:szCs w:val="22"/>
          <w:lang w:val="fr"/>
        </w:rPr>
        <w:t>liés aux océans</w:t>
      </w:r>
      <w:r w:rsidR="000723F0" w:rsidRPr="000723F0">
        <w:rPr>
          <w:rFonts w:eastAsia="Times New Roman" w:cs="Arial"/>
          <w:szCs w:val="22"/>
          <w:lang w:eastAsia="en-US"/>
        </w:rPr>
        <w:t xml:space="preserve"> </w:t>
      </w:r>
    </w:p>
    <w:p w14:paraId="216F83AE" w14:textId="794CD668" w:rsidR="000723F0" w:rsidRPr="000723F0" w:rsidRDefault="003C5CD1" w:rsidP="005D6192">
      <w:pPr>
        <w:tabs>
          <w:tab w:val="clear" w:pos="567"/>
          <w:tab w:val="left" w:pos="-737"/>
        </w:tabs>
        <w:spacing w:after="240"/>
        <w:ind w:left="1985" w:hanging="862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3.4.2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876C39">
        <w:rPr>
          <w:rFonts w:cs="Arial"/>
          <w:b/>
          <w:bCs/>
          <w:szCs w:val="22"/>
          <w:lang w:val="fr"/>
        </w:rPr>
        <w:t>Échange international des données et de l’information océanographiques : 28</w:t>
      </w:r>
      <w:r w:rsidR="00876C39" w:rsidRPr="004F35E6">
        <w:rPr>
          <w:rFonts w:cs="Arial"/>
          <w:b/>
          <w:bCs/>
          <w:szCs w:val="22"/>
          <w:vertAlign w:val="superscript"/>
          <w:lang w:val="fr"/>
        </w:rPr>
        <w:t>e</w:t>
      </w:r>
      <w:r w:rsidR="00876C39">
        <w:rPr>
          <w:rFonts w:cs="Arial"/>
          <w:b/>
          <w:bCs/>
          <w:szCs w:val="22"/>
          <w:lang w:val="fr"/>
        </w:rPr>
        <w:t xml:space="preserve"> session de l’IODE, Santa Marta, Colombie, </w:t>
      </w:r>
      <w:r w:rsidR="00876C39">
        <w:rPr>
          <w:rFonts w:cs="Arial"/>
          <w:b/>
          <w:bCs/>
          <w:szCs w:val="22"/>
          <w:lang w:val="fr"/>
        </w:rPr>
        <w:br/>
        <w:t>12-14 mars 2025</w:t>
      </w:r>
    </w:p>
    <w:p w14:paraId="4E1B67BA" w14:textId="3A06CC4B" w:rsidR="000723F0" w:rsidRDefault="003C5CD1" w:rsidP="005D6192">
      <w:pPr>
        <w:tabs>
          <w:tab w:val="clear" w:pos="567"/>
          <w:tab w:val="left" w:pos="-737"/>
        </w:tabs>
        <w:spacing w:after="240"/>
        <w:ind w:left="1985" w:hanging="862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3.4.3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876C39">
        <w:rPr>
          <w:rFonts w:cs="Arial"/>
          <w:b/>
          <w:bCs/>
          <w:szCs w:val="22"/>
          <w:lang w:val="fr"/>
        </w:rPr>
        <w:t>Architecture des données de la COI</w:t>
      </w:r>
      <w:r w:rsidR="00876C39">
        <w:rPr>
          <w:rFonts w:cs="Arial"/>
          <w:szCs w:val="22"/>
          <w:lang w:val="fr"/>
        </w:rPr>
        <w:br/>
      </w:r>
      <w:r w:rsidR="00876C39" w:rsidRPr="002F39CA">
        <w:rPr>
          <w:rFonts w:cs="Arial"/>
          <w:sz w:val="20"/>
          <w:szCs w:val="20"/>
          <w:lang w:val="fr"/>
        </w:rPr>
        <w:t>[Rec. IODE-28 ; Rec. GOOS-SC-14]</w:t>
      </w:r>
      <w:r w:rsidR="000723F0" w:rsidRPr="002F39CA">
        <w:rPr>
          <w:rFonts w:eastAsia="Times New Roman" w:cs="Arial"/>
          <w:b/>
          <w:bCs/>
          <w:szCs w:val="22"/>
          <w:lang w:eastAsia="en-US"/>
        </w:rPr>
        <w:t xml:space="preserve"> </w:t>
      </w:r>
    </w:p>
    <w:p w14:paraId="13C408B6" w14:textId="62C9A763" w:rsidR="00876C39" w:rsidRDefault="00876C39" w:rsidP="005D6192">
      <w:pPr>
        <w:tabs>
          <w:tab w:val="clear" w:pos="567"/>
          <w:tab w:val="left" w:pos="-737"/>
        </w:tabs>
        <w:spacing w:after="240"/>
        <w:ind w:left="1985" w:hanging="862"/>
        <w:rPr>
          <w:rFonts w:cs="Arial"/>
          <w:szCs w:val="22"/>
        </w:rPr>
      </w:pPr>
      <w:r>
        <w:rPr>
          <w:rFonts w:eastAsia="Times New Roman" w:cs="Arial"/>
          <w:b/>
          <w:bCs/>
          <w:szCs w:val="22"/>
          <w:lang w:eastAsia="en-US"/>
        </w:rPr>
        <w:t>3.4.4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Pr="00876C39">
        <w:rPr>
          <w:rFonts w:cs="Arial"/>
          <w:b/>
          <w:bCs/>
          <w:szCs w:val="22"/>
        </w:rPr>
        <w:t>Système de bonnes pratiques océanographiques (OBPS) de la COI</w:t>
      </w:r>
      <w:r>
        <w:rPr>
          <w:rFonts w:cs="Arial"/>
          <w:szCs w:val="22"/>
          <w:lang w:val="fr"/>
        </w:rPr>
        <w:br/>
      </w:r>
      <w:r w:rsidRPr="002F39CA">
        <w:rPr>
          <w:rFonts w:cs="Arial"/>
          <w:sz w:val="20"/>
          <w:szCs w:val="20"/>
        </w:rPr>
        <w:t>[Décision IOC-XXX/7.2.1 (III)]</w:t>
      </w:r>
    </w:p>
    <w:p w14:paraId="2B751C83" w14:textId="28BD3C33" w:rsidR="00792A5B" w:rsidRPr="00876C39" w:rsidRDefault="00792A5B" w:rsidP="005D6192">
      <w:pPr>
        <w:tabs>
          <w:tab w:val="clear" w:pos="567"/>
          <w:tab w:val="left" w:pos="-737"/>
        </w:tabs>
        <w:spacing w:after="240"/>
        <w:ind w:left="1985" w:hanging="862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3.4.5</w:t>
      </w:r>
      <w:r>
        <w:rPr>
          <w:rFonts w:eastAsia="Times New Roman" w:cs="Arial"/>
          <w:b/>
          <w:bCs/>
          <w:szCs w:val="22"/>
          <w:lang w:eastAsia="en-US"/>
        </w:rPr>
        <w:tab/>
      </w:r>
      <w:r>
        <w:rPr>
          <w:rFonts w:cs="Arial"/>
          <w:b/>
          <w:bCs/>
          <w:szCs w:val="22"/>
          <w:lang w:val="fr"/>
        </w:rPr>
        <w:t>Groupe intergouvernemental de la COI-FAO chargé d’étudier les efflorescences algales nuisibles : 17</w:t>
      </w:r>
      <w:r w:rsidRPr="00792A5B">
        <w:rPr>
          <w:rFonts w:cs="Arial"/>
          <w:b/>
          <w:bCs/>
          <w:szCs w:val="22"/>
          <w:vertAlign w:val="superscript"/>
          <w:lang w:val="fr"/>
        </w:rPr>
        <w:t>e</w:t>
      </w:r>
      <w:r>
        <w:rPr>
          <w:rFonts w:cs="Arial"/>
          <w:b/>
          <w:bCs/>
          <w:szCs w:val="22"/>
          <w:lang w:val="fr"/>
        </w:rPr>
        <w:t xml:space="preserve"> session de l'IPHAB, FAO, UNESCO, Paris, 18-20 mars 2025</w:t>
      </w:r>
    </w:p>
    <w:p w14:paraId="0C672948" w14:textId="0C5F98DF" w:rsidR="000723F0" w:rsidRPr="000723F0" w:rsidRDefault="003C5CD1" w:rsidP="000D2E63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3.5</w:t>
      </w:r>
      <w:r>
        <w:rPr>
          <w:rFonts w:eastAsia="Times New Roman" w:cs="Arial"/>
          <w:szCs w:val="22"/>
          <w:lang w:eastAsia="en-US"/>
        </w:rPr>
        <w:tab/>
      </w:r>
      <w:r w:rsidR="00876C39">
        <w:rPr>
          <w:rFonts w:cs="Arial"/>
          <w:szCs w:val="22"/>
          <w:lang w:val="fr"/>
        </w:rPr>
        <w:t>RAPPORT DE LA COI À LA 43</w:t>
      </w:r>
      <w:r w:rsidR="00876C39" w:rsidRPr="004F35E6">
        <w:rPr>
          <w:rFonts w:cs="Arial"/>
          <w:szCs w:val="22"/>
          <w:vertAlign w:val="superscript"/>
          <w:lang w:val="fr"/>
        </w:rPr>
        <w:t>e</w:t>
      </w:r>
      <w:r w:rsidR="00876C39">
        <w:rPr>
          <w:rFonts w:cs="Arial"/>
          <w:szCs w:val="22"/>
          <w:lang w:val="fr"/>
        </w:rPr>
        <w:t xml:space="preserve"> CONFÉRENCE GÉNÉRALE DE L’UNESCO</w:t>
      </w:r>
      <w:r w:rsidR="00876C39">
        <w:rPr>
          <w:rFonts w:cs="Arial"/>
          <w:szCs w:val="22"/>
          <w:lang w:val="fr"/>
        </w:rPr>
        <w:br/>
      </w:r>
      <w:r w:rsidR="00876C39" w:rsidRPr="002F39CA">
        <w:rPr>
          <w:rFonts w:cs="Arial"/>
          <w:sz w:val="20"/>
          <w:szCs w:val="20"/>
          <w:lang w:val="fr"/>
        </w:rPr>
        <w:t>[Article 3.2 des Statuts ; article 50 du Règlement intérieur]</w:t>
      </w:r>
    </w:p>
    <w:p w14:paraId="6CA77968" w14:textId="3248C541" w:rsidR="000723F0" w:rsidRPr="000723F0" w:rsidRDefault="003C5CD1" w:rsidP="000D2E63">
      <w:pPr>
        <w:tabs>
          <w:tab w:val="left" w:pos="-737"/>
        </w:tabs>
        <w:spacing w:after="240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4.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>ÉVOLUTIONS PROGRAMMATIQUES</w:t>
      </w:r>
    </w:p>
    <w:p w14:paraId="6FE98B35" w14:textId="74AFA6E1" w:rsidR="000723F0" w:rsidRPr="000723F0" w:rsidRDefault="003C5CD1" w:rsidP="00AF5CDB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4.1</w:t>
      </w:r>
      <w:r>
        <w:rPr>
          <w:rFonts w:eastAsia="Times New Roman" w:cs="Arial"/>
          <w:szCs w:val="22"/>
          <w:lang w:eastAsia="en-US"/>
        </w:rPr>
        <w:tab/>
      </w:r>
      <w:r w:rsidR="00AF5CDB" w:rsidRPr="00AF5CDB">
        <w:rPr>
          <w:rFonts w:eastAsia="Times New Roman" w:cs="Arial"/>
          <w:szCs w:val="22"/>
          <w:lang w:val="fr" w:eastAsia="en-US"/>
        </w:rPr>
        <w:t xml:space="preserve">PROJET DE STRATÉGIE A L’ÉCHELLE DE LA COI </w:t>
      </w:r>
      <w:r w:rsidR="00AF5CDB" w:rsidRPr="00AF5CDB">
        <w:rPr>
          <w:rFonts w:eastAsia="Times New Roman" w:cs="Arial"/>
          <w:szCs w:val="22"/>
          <w:lang w:val="fr" w:eastAsia="en-US"/>
        </w:rPr>
        <w:br/>
        <w:t>SUR LA PLANIFICATION ET LA GESTION DURABLES DE L’OCÉAN</w:t>
      </w:r>
      <w:r w:rsidR="00AF5CDB" w:rsidRPr="00AF5CDB">
        <w:rPr>
          <w:rFonts w:eastAsia="Times New Roman" w:cs="Arial"/>
          <w:szCs w:val="22"/>
          <w:lang w:val="fr" w:eastAsia="en-US"/>
        </w:rPr>
        <w:br/>
      </w:r>
      <w:r w:rsidR="00AF5CDB" w:rsidRPr="002F39CA">
        <w:rPr>
          <w:rFonts w:eastAsia="Times New Roman" w:cs="Arial"/>
          <w:sz w:val="20"/>
          <w:szCs w:val="20"/>
          <w:lang w:val="fr" w:eastAsia="en-US"/>
        </w:rPr>
        <w:t>[Déc. IOC-XXVI/8.2 ; Déc. A-32/4.7 ; Déc. EC-57/4.3]</w:t>
      </w:r>
    </w:p>
    <w:p w14:paraId="6D8E56FA" w14:textId="2C5EFE65" w:rsidR="000723F0" w:rsidRPr="000723F0" w:rsidRDefault="003C5CD1" w:rsidP="000D2E63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4.2</w:t>
      </w:r>
      <w:r>
        <w:rPr>
          <w:rFonts w:eastAsia="Times New Roman" w:cs="Arial"/>
          <w:szCs w:val="22"/>
          <w:lang w:eastAsia="en-US"/>
        </w:rPr>
        <w:tab/>
      </w:r>
      <w:r w:rsidR="00AF5CDB">
        <w:rPr>
          <w:rFonts w:cs="Arial"/>
          <w:szCs w:val="22"/>
          <w:lang w:val="fr"/>
        </w:rPr>
        <w:t xml:space="preserve">PROJET DE PLAN DE MISE EN ŒUVRE POUR LA STRATÉGIE </w:t>
      </w:r>
      <w:r w:rsidR="00AF5CDB">
        <w:rPr>
          <w:rFonts w:cs="Arial"/>
          <w:szCs w:val="22"/>
          <w:lang w:val="fr"/>
        </w:rPr>
        <w:br/>
        <w:t>DE LA COI POUR LE DÉVELOPPEMENT DES CAPACITÉS 2023-2030</w:t>
      </w:r>
      <w:r w:rsidR="00AF5CDB">
        <w:rPr>
          <w:rFonts w:cs="Arial"/>
          <w:szCs w:val="22"/>
          <w:lang w:val="fr"/>
        </w:rPr>
        <w:br/>
      </w:r>
      <w:r w:rsidR="00AF5CDB" w:rsidRPr="002F39CA">
        <w:rPr>
          <w:rFonts w:cs="Arial"/>
          <w:sz w:val="20"/>
          <w:szCs w:val="20"/>
          <w:lang w:val="fr"/>
        </w:rPr>
        <w:t>[Déc. A-31/3.5.3 ; déc. XXIX/10.1] Déc. EC-57/4.6]</w:t>
      </w:r>
    </w:p>
    <w:p w14:paraId="08ABB63A" w14:textId="4513DFAC" w:rsidR="000723F0" w:rsidRPr="000723F0" w:rsidRDefault="003C5CD1" w:rsidP="000D2E63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4.3</w:t>
      </w:r>
      <w:r>
        <w:rPr>
          <w:rFonts w:eastAsia="Times New Roman" w:cs="Arial"/>
          <w:szCs w:val="22"/>
          <w:lang w:eastAsia="en-US"/>
        </w:rPr>
        <w:tab/>
      </w:r>
      <w:r w:rsidR="00AF5CDB">
        <w:rPr>
          <w:rFonts w:cs="Arial"/>
          <w:szCs w:val="22"/>
          <w:lang w:val="fr"/>
        </w:rPr>
        <w:t xml:space="preserve">CARTE BATHYMÉTRIQUE GÉNÉRALE DES OCÉANS (GEBCO) - </w:t>
      </w:r>
      <w:r w:rsidR="00AF5CDB">
        <w:rPr>
          <w:rFonts w:cs="Arial"/>
          <w:szCs w:val="22"/>
          <w:lang w:val="fr"/>
        </w:rPr>
        <w:br/>
        <w:t>RAPPORT ET SUIVI DE L’EXAMEN DE LA GOUVERNANCE</w:t>
      </w:r>
      <w:r w:rsidR="00AF5CDB">
        <w:rPr>
          <w:rFonts w:cs="Arial"/>
          <w:szCs w:val="22"/>
          <w:lang w:val="fr"/>
        </w:rPr>
        <w:br/>
      </w:r>
      <w:r w:rsidR="00AF5CDB" w:rsidRPr="002F39CA">
        <w:rPr>
          <w:rFonts w:cs="Arial"/>
          <w:color w:val="000000" w:themeColor="text1"/>
          <w:sz w:val="20"/>
          <w:szCs w:val="20"/>
          <w:lang w:val="fr"/>
        </w:rPr>
        <w:t>[A-32/déc.4.1, EC-57/déc.4.4]</w:t>
      </w:r>
    </w:p>
    <w:p w14:paraId="3E7A76DC" w14:textId="426D328F" w:rsidR="000723F0" w:rsidRPr="000723F0" w:rsidRDefault="003C5CD1" w:rsidP="000D2E63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4.4</w:t>
      </w:r>
      <w:r>
        <w:rPr>
          <w:rFonts w:eastAsia="Times New Roman" w:cs="Arial"/>
          <w:szCs w:val="22"/>
          <w:lang w:eastAsia="en-US"/>
        </w:rPr>
        <w:tab/>
      </w:r>
      <w:r w:rsidR="00AF5CDB" w:rsidRPr="008F0262">
        <w:rPr>
          <w:rFonts w:cs="Arial"/>
          <w:szCs w:val="22"/>
          <w:lang w:val="fr"/>
        </w:rPr>
        <w:t>PLAN D</w:t>
      </w:r>
      <w:r w:rsidR="00AF5CDB">
        <w:rPr>
          <w:rFonts w:cs="Arial"/>
          <w:szCs w:val="22"/>
          <w:lang w:val="fr"/>
        </w:rPr>
        <w:t>’</w:t>
      </w:r>
      <w:r w:rsidR="00AF5CDB" w:rsidRPr="008F0262">
        <w:rPr>
          <w:rFonts w:cs="Arial"/>
          <w:szCs w:val="22"/>
          <w:lang w:val="fr"/>
        </w:rPr>
        <w:t xml:space="preserve">ACTION ET STRATÉGIE DE LA COI EN MATIÈRE </w:t>
      </w:r>
      <w:r w:rsidR="00AF5CDB">
        <w:rPr>
          <w:rFonts w:cs="Arial"/>
          <w:szCs w:val="22"/>
          <w:lang w:val="fr"/>
        </w:rPr>
        <w:br/>
      </w:r>
      <w:r w:rsidR="00AF5CDB" w:rsidRPr="008F0262">
        <w:rPr>
          <w:rFonts w:cs="Arial"/>
          <w:szCs w:val="22"/>
          <w:lang w:val="fr"/>
        </w:rPr>
        <w:t>D</w:t>
      </w:r>
      <w:r w:rsidR="00AF5CDB">
        <w:rPr>
          <w:rFonts w:cs="Arial"/>
          <w:szCs w:val="22"/>
          <w:lang w:val="fr"/>
        </w:rPr>
        <w:t>’</w:t>
      </w:r>
      <w:r w:rsidR="00AF5CDB" w:rsidRPr="008F0262">
        <w:rPr>
          <w:rFonts w:cs="Arial"/>
          <w:szCs w:val="22"/>
          <w:lang w:val="fr"/>
        </w:rPr>
        <w:t>INITIATION À L</w:t>
      </w:r>
      <w:r w:rsidR="00AF5CDB">
        <w:rPr>
          <w:rFonts w:cs="Arial"/>
          <w:szCs w:val="22"/>
          <w:lang w:val="fr"/>
        </w:rPr>
        <w:t>’</w:t>
      </w:r>
      <w:r w:rsidR="00AF5CDB" w:rsidRPr="008F0262">
        <w:rPr>
          <w:rFonts w:cs="Arial"/>
          <w:szCs w:val="22"/>
          <w:lang w:val="fr"/>
        </w:rPr>
        <w:t>OCÉAN</w:t>
      </w:r>
      <w:r w:rsidR="00AF5CDB" w:rsidRPr="008F0262">
        <w:rPr>
          <w:rFonts w:cs="Arial"/>
          <w:szCs w:val="22"/>
          <w:lang w:val="fr"/>
        </w:rPr>
        <w:br/>
      </w:r>
      <w:r w:rsidR="00AF5CDB" w:rsidRPr="002F39CA">
        <w:rPr>
          <w:rFonts w:cs="Arial"/>
          <w:sz w:val="20"/>
          <w:szCs w:val="20"/>
          <w:lang w:val="fr"/>
        </w:rPr>
        <w:t>[Déc. IOC-XXX/11.2 ; Déc. A-31/3.5.4]</w:t>
      </w:r>
    </w:p>
    <w:p w14:paraId="7B2E9AB4" w14:textId="768E6CC9" w:rsidR="000723F0" w:rsidRDefault="003C5CD1" w:rsidP="000D2E63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4.5</w:t>
      </w:r>
      <w:r>
        <w:rPr>
          <w:rFonts w:eastAsia="Times New Roman" w:cs="Arial"/>
          <w:szCs w:val="22"/>
          <w:lang w:eastAsia="en-US"/>
        </w:rPr>
        <w:tab/>
      </w:r>
      <w:r w:rsidR="00AF5CDB">
        <w:rPr>
          <w:rFonts w:cs="Arial"/>
          <w:szCs w:val="22"/>
          <w:lang w:val="fr"/>
        </w:rPr>
        <w:t>SYSTÈME MONDIAL D’OBSERVATION DE L’OCÉAN</w:t>
      </w:r>
      <w:r w:rsidR="000723F0" w:rsidRPr="000723F0">
        <w:rPr>
          <w:rFonts w:eastAsia="Times New Roman" w:cs="Arial"/>
          <w:szCs w:val="22"/>
          <w:lang w:eastAsia="en-US"/>
        </w:rPr>
        <w:t xml:space="preserve"> </w:t>
      </w:r>
    </w:p>
    <w:p w14:paraId="2D1978BA" w14:textId="2024BDAC" w:rsidR="00AF5CDB" w:rsidRPr="00474613" w:rsidRDefault="00AF5CDB" w:rsidP="00AF5CDB">
      <w:pPr>
        <w:tabs>
          <w:tab w:val="clear" w:pos="567"/>
          <w:tab w:val="left" w:pos="-737"/>
        </w:tabs>
        <w:spacing w:after="240"/>
        <w:ind w:left="1985" w:hanging="862"/>
        <w:rPr>
          <w:rFonts w:cs="Arial"/>
          <w:szCs w:val="22"/>
        </w:rPr>
      </w:pPr>
      <w:r>
        <w:rPr>
          <w:rFonts w:cs="Arial"/>
          <w:b/>
          <w:bCs/>
          <w:szCs w:val="22"/>
          <w:lang w:val="fr"/>
        </w:rPr>
        <w:t>4.5.1</w:t>
      </w:r>
      <w:r>
        <w:rPr>
          <w:rFonts w:cs="Arial"/>
          <w:b/>
          <w:bCs/>
          <w:szCs w:val="22"/>
          <w:lang w:val="fr"/>
        </w:rPr>
        <w:tab/>
        <w:t>Gouvernance du GOOS</w:t>
      </w:r>
      <w:r>
        <w:rPr>
          <w:rFonts w:cs="Arial"/>
          <w:szCs w:val="22"/>
          <w:lang w:val="fr"/>
        </w:rPr>
        <w:t xml:space="preserve"> </w:t>
      </w:r>
      <w:r>
        <w:rPr>
          <w:rFonts w:cs="Arial"/>
          <w:szCs w:val="22"/>
          <w:lang w:val="fr"/>
        </w:rPr>
        <w:br/>
      </w:r>
      <w:r w:rsidRPr="00CC4825">
        <w:rPr>
          <w:rFonts w:cs="Arial"/>
          <w:sz w:val="20"/>
          <w:szCs w:val="20"/>
          <w:lang w:val="fr"/>
        </w:rPr>
        <w:t>[Article 45.1(j) du Règlement intérieur ; déc. EC-57/4.1]</w:t>
      </w:r>
    </w:p>
    <w:p w14:paraId="45393875" w14:textId="7056D13D" w:rsidR="00AF5CDB" w:rsidRDefault="00AF5CDB" w:rsidP="00AF5CDB">
      <w:pPr>
        <w:tabs>
          <w:tab w:val="clear" w:pos="567"/>
          <w:tab w:val="left" w:pos="-737"/>
        </w:tabs>
        <w:ind w:left="1985" w:hanging="862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  <w:lang w:val="fr"/>
        </w:rPr>
        <w:t>4.5.2</w:t>
      </w:r>
      <w:r>
        <w:rPr>
          <w:rFonts w:cs="Arial"/>
          <w:b/>
          <w:bCs/>
          <w:szCs w:val="22"/>
          <w:lang w:val="fr"/>
        </w:rPr>
        <w:tab/>
        <w:t>Plan de travail du Comité directeur du GOOS</w:t>
      </w:r>
    </w:p>
    <w:p w14:paraId="3F37C5E2" w14:textId="00384945" w:rsidR="00AF5CDB" w:rsidRPr="00CC4825" w:rsidRDefault="00AF5CDB" w:rsidP="00AF5CDB">
      <w:pPr>
        <w:pStyle w:val="b"/>
        <w:tabs>
          <w:tab w:val="clear" w:pos="1134"/>
          <w:tab w:val="left" w:pos="1862"/>
        </w:tabs>
        <w:spacing w:after="120"/>
        <w:ind w:left="1985" w:firstLine="0"/>
        <w:jc w:val="left"/>
        <w:rPr>
          <w:rFonts w:cs="Arial"/>
          <w:sz w:val="20"/>
          <w:szCs w:val="20"/>
        </w:rPr>
      </w:pPr>
      <w:r w:rsidRPr="00CC4825">
        <w:rPr>
          <w:rFonts w:cs="Arial"/>
          <w:color w:val="000000" w:themeColor="text1"/>
          <w:sz w:val="20"/>
          <w:szCs w:val="20"/>
          <w:lang w:val="fr"/>
        </w:rPr>
        <w:t>[</w:t>
      </w:r>
      <w:proofErr w:type="spellStart"/>
      <w:r w:rsidRPr="00CC4825">
        <w:rPr>
          <w:rFonts w:cs="Arial"/>
          <w:sz w:val="20"/>
          <w:szCs w:val="20"/>
          <w:lang w:val="fr"/>
        </w:rPr>
        <w:t>Rés</w:t>
      </w:r>
      <w:proofErr w:type="spellEnd"/>
      <w:r w:rsidRPr="00CC4825">
        <w:rPr>
          <w:rFonts w:cs="Arial"/>
          <w:sz w:val="20"/>
          <w:szCs w:val="20"/>
          <w:lang w:val="fr"/>
        </w:rPr>
        <w:t>. XXVI-8]</w:t>
      </w:r>
    </w:p>
    <w:p w14:paraId="59AF3FB9" w14:textId="43F85155" w:rsidR="00AF5CDB" w:rsidRDefault="00AF5CDB" w:rsidP="00AF5CDB">
      <w:pPr>
        <w:tabs>
          <w:tab w:val="clear" w:pos="567"/>
          <w:tab w:val="left" w:pos="-737"/>
        </w:tabs>
        <w:spacing w:after="240"/>
        <w:ind w:left="1985" w:hanging="862"/>
        <w:rPr>
          <w:rFonts w:cs="Arial"/>
          <w:szCs w:val="22"/>
        </w:rPr>
      </w:pPr>
      <w:r>
        <w:rPr>
          <w:rFonts w:cs="Arial"/>
          <w:b/>
          <w:bCs/>
          <w:szCs w:val="22"/>
          <w:lang w:val="fr"/>
        </w:rPr>
        <w:lastRenderedPageBreak/>
        <w:t>4.5.3</w:t>
      </w:r>
      <w:r>
        <w:rPr>
          <w:rFonts w:cs="Arial"/>
          <w:b/>
          <w:bCs/>
          <w:szCs w:val="22"/>
          <w:lang w:val="fr"/>
        </w:rPr>
        <w:tab/>
        <w:t>Rapport du Groupe de travail intersessions sur les observations océaniques dans les zones relevant de la juridiction nationale</w:t>
      </w:r>
      <w:r>
        <w:rPr>
          <w:rFonts w:cs="Arial"/>
          <w:szCs w:val="22"/>
          <w:lang w:val="fr"/>
        </w:rPr>
        <w:br/>
      </w:r>
      <w:r w:rsidRPr="00CC4825">
        <w:rPr>
          <w:rFonts w:cs="Arial"/>
          <w:sz w:val="20"/>
          <w:szCs w:val="20"/>
          <w:lang w:val="fr"/>
        </w:rPr>
        <w:t>[Déc. IOC/EC-55/3.4 ; Déc. A-32/4.8.2]</w:t>
      </w:r>
    </w:p>
    <w:p w14:paraId="45F1E1DA" w14:textId="3E86FFA5" w:rsidR="000723F0" w:rsidRPr="000723F0" w:rsidRDefault="003C5CD1" w:rsidP="000D2E63">
      <w:pPr>
        <w:tabs>
          <w:tab w:val="clear" w:pos="567"/>
          <w:tab w:val="left" w:pos="-737"/>
        </w:tabs>
        <w:spacing w:after="240"/>
        <w:ind w:left="1134" w:hanging="567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4.6</w:t>
      </w:r>
      <w:r>
        <w:rPr>
          <w:rFonts w:eastAsia="Times New Roman" w:cs="Arial"/>
          <w:szCs w:val="22"/>
          <w:lang w:eastAsia="en-US"/>
        </w:rPr>
        <w:tab/>
      </w:r>
      <w:bookmarkStart w:id="1" w:name="_Hlk184635962"/>
      <w:r w:rsidR="00AF5CDB">
        <w:rPr>
          <w:rFonts w:cs="Arial"/>
          <w:szCs w:val="22"/>
          <w:lang w:val="fr"/>
        </w:rPr>
        <w:t xml:space="preserve">CONSEIL DE COLLABORATION CONJOINT OMS-COI (CCI) – </w:t>
      </w:r>
      <w:r w:rsidR="00AF5CDB">
        <w:rPr>
          <w:rFonts w:cs="Arial"/>
          <w:szCs w:val="22"/>
          <w:lang w:val="fr"/>
        </w:rPr>
        <w:br/>
        <w:t xml:space="preserve">CONSEIL STRATÉGIQUE SUR LE TRAVAIL CONJOINT </w:t>
      </w:r>
      <w:r w:rsidR="00EC44ED">
        <w:rPr>
          <w:rFonts w:cs="Arial"/>
          <w:szCs w:val="22"/>
          <w:lang w:val="fr"/>
        </w:rPr>
        <w:br/>
      </w:r>
      <w:r w:rsidR="00AF5CDB">
        <w:rPr>
          <w:rFonts w:cs="Arial"/>
          <w:szCs w:val="22"/>
          <w:lang w:val="fr"/>
        </w:rPr>
        <w:t>POUR ATTEINDRE LES OBJECTIFS COMMUNS</w:t>
      </w:r>
      <w:r w:rsidR="00AF5CDB">
        <w:rPr>
          <w:rFonts w:cs="Arial"/>
          <w:b/>
          <w:bCs/>
          <w:szCs w:val="22"/>
          <w:lang w:val="fr"/>
        </w:rPr>
        <w:t> </w:t>
      </w:r>
      <w:r w:rsidR="00AF5CDB">
        <w:rPr>
          <w:rFonts w:cs="Arial"/>
          <w:szCs w:val="22"/>
          <w:lang w:val="fr"/>
        </w:rPr>
        <w:br/>
      </w:r>
      <w:r w:rsidR="00AF5CDB" w:rsidRPr="00EC44ED">
        <w:rPr>
          <w:rFonts w:cs="Arial"/>
          <w:sz w:val="20"/>
          <w:szCs w:val="20"/>
          <w:lang w:val="fr"/>
        </w:rPr>
        <w:t>[</w:t>
      </w:r>
      <w:proofErr w:type="spellStart"/>
      <w:r w:rsidR="00AF5CDB" w:rsidRPr="00EC44ED">
        <w:rPr>
          <w:rFonts w:cs="Arial"/>
          <w:sz w:val="20"/>
          <w:szCs w:val="20"/>
          <w:lang w:val="fr"/>
        </w:rPr>
        <w:t>Rés</w:t>
      </w:r>
      <w:proofErr w:type="spellEnd"/>
      <w:r w:rsidR="00AF5CDB" w:rsidRPr="00EC44ED">
        <w:rPr>
          <w:rFonts w:cs="Arial"/>
          <w:sz w:val="20"/>
          <w:szCs w:val="20"/>
          <w:lang w:val="fr"/>
        </w:rPr>
        <w:t>. XXX-2 ; Déc. A-31/3.5.5 ; Déc. A-32/4.9]</w:t>
      </w:r>
      <w:bookmarkEnd w:id="1"/>
    </w:p>
    <w:p w14:paraId="6B7248C7" w14:textId="1C6C8B2C" w:rsidR="000723F0" w:rsidRPr="000723F0" w:rsidRDefault="003C5CD1" w:rsidP="00AF5CDB">
      <w:pPr>
        <w:tabs>
          <w:tab w:val="clear" w:pos="567"/>
          <w:tab w:val="left" w:pos="-737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4.7</w:t>
      </w:r>
      <w:r>
        <w:rPr>
          <w:rFonts w:eastAsia="Times New Roman" w:cs="Arial"/>
          <w:szCs w:val="22"/>
          <w:lang w:eastAsia="en-US"/>
        </w:rPr>
        <w:tab/>
      </w:r>
      <w:r w:rsidR="00AF5CDB" w:rsidRPr="00AF5CDB">
        <w:rPr>
          <w:rFonts w:eastAsia="Times New Roman" w:cs="Arial"/>
          <w:szCs w:val="22"/>
          <w:lang w:val="fr" w:eastAsia="en-US"/>
        </w:rPr>
        <w:t xml:space="preserve">CONTRIBUTIONS DE LA COI AUX PROCESSUS </w:t>
      </w:r>
      <w:r w:rsidR="0023767D">
        <w:rPr>
          <w:rFonts w:eastAsia="Times New Roman" w:cs="Arial"/>
          <w:szCs w:val="22"/>
          <w:lang w:val="fr" w:eastAsia="en-US"/>
        </w:rPr>
        <w:br/>
      </w:r>
      <w:r w:rsidR="00AF5CDB" w:rsidRPr="00AF5CDB">
        <w:rPr>
          <w:rFonts w:eastAsia="Times New Roman" w:cs="Arial"/>
          <w:szCs w:val="22"/>
          <w:lang w:val="fr" w:eastAsia="en-US"/>
        </w:rPr>
        <w:t>DE GOUVERNANCE DES NATIONS UNIES</w:t>
      </w:r>
      <w:r w:rsidR="00AF5CDB" w:rsidRPr="00AF5CDB">
        <w:rPr>
          <w:rFonts w:eastAsia="Times New Roman" w:cs="Arial"/>
          <w:szCs w:val="22"/>
          <w:lang w:val="fr" w:eastAsia="en-US"/>
        </w:rPr>
        <w:br/>
      </w:r>
      <w:r w:rsidR="00AF5CDB" w:rsidRPr="00EC44ED">
        <w:rPr>
          <w:rFonts w:eastAsia="Times New Roman" w:cs="Arial"/>
          <w:sz w:val="20"/>
          <w:szCs w:val="20"/>
          <w:lang w:val="fr" w:eastAsia="en-US"/>
        </w:rPr>
        <w:t>[Article 45.1(g) du Règlement intérieur]</w:t>
      </w:r>
    </w:p>
    <w:p w14:paraId="1A5ED94E" w14:textId="0CB7A05F" w:rsidR="000723F0" w:rsidRPr="000723F0" w:rsidRDefault="003C5CD1" w:rsidP="0032163E">
      <w:pPr>
        <w:tabs>
          <w:tab w:val="clear" w:pos="567"/>
          <w:tab w:val="left" w:pos="-737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4.8</w:t>
      </w:r>
      <w:r>
        <w:rPr>
          <w:rFonts w:eastAsia="Times New Roman" w:cs="Arial"/>
          <w:szCs w:val="22"/>
          <w:lang w:eastAsia="en-US"/>
        </w:rPr>
        <w:tab/>
      </w:r>
      <w:r w:rsidR="00AF5CDB">
        <w:rPr>
          <w:rFonts w:cs="Arial"/>
          <w:szCs w:val="22"/>
          <w:lang w:val="fr"/>
        </w:rPr>
        <w:t xml:space="preserve">RAPPORT SUR LA MISE EN ŒUVRE DE LA DÉCENNIE </w:t>
      </w:r>
      <w:r w:rsidR="00AF5CDB">
        <w:rPr>
          <w:rFonts w:cs="Arial"/>
          <w:szCs w:val="22"/>
          <w:lang w:val="fr"/>
        </w:rPr>
        <w:br/>
        <w:t xml:space="preserve">DES OCÉANS 2021-2030 DES NATIONS UNIES ET RÉSULTATS </w:t>
      </w:r>
      <w:r w:rsidR="00AF5CDB">
        <w:rPr>
          <w:rFonts w:cs="Arial"/>
          <w:szCs w:val="22"/>
          <w:lang w:val="fr"/>
        </w:rPr>
        <w:br/>
        <w:t>DE L’ÉVALUATION À MI-PARCOURS</w:t>
      </w:r>
      <w:r w:rsidR="00AF5CDB">
        <w:rPr>
          <w:rFonts w:cs="Arial"/>
          <w:szCs w:val="22"/>
          <w:lang w:val="fr"/>
        </w:rPr>
        <w:br/>
      </w:r>
      <w:r w:rsidR="00AF5CDB">
        <w:rPr>
          <w:rFonts w:cs="Arial"/>
          <w:sz w:val="20"/>
          <w:szCs w:val="20"/>
          <w:lang w:val="fr"/>
        </w:rPr>
        <w:t xml:space="preserve">[Déc. EC-XLIX/5 ; </w:t>
      </w:r>
      <w:proofErr w:type="spellStart"/>
      <w:r w:rsidR="00AF5CDB">
        <w:rPr>
          <w:rFonts w:cs="Arial"/>
          <w:sz w:val="20"/>
          <w:szCs w:val="20"/>
          <w:lang w:val="fr"/>
        </w:rPr>
        <w:t>Rés</w:t>
      </w:r>
      <w:proofErr w:type="spellEnd"/>
      <w:r w:rsidR="00AF5CDB">
        <w:rPr>
          <w:rFonts w:cs="Arial"/>
          <w:sz w:val="20"/>
          <w:szCs w:val="20"/>
          <w:lang w:val="fr"/>
        </w:rPr>
        <w:t xml:space="preserve">. XXIX/1 ; </w:t>
      </w:r>
      <w:proofErr w:type="spellStart"/>
      <w:r w:rsidR="00AF5CDB">
        <w:rPr>
          <w:rFonts w:cs="Arial"/>
          <w:sz w:val="20"/>
          <w:szCs w:val="20"/>
          <w:lang w:val="fr"/>
        </w:rPr>
        <w:t>Rés</w:t>
      </w:r>
      <w:proofErr w:type="spellEnd"/>
      <w:r w:rsidR="00AF5CDB">
        <w:rPr>
          <w:rFonts w:cs="Arial"/>
          <w:sz w:val="20"/>
          <w:szCs w:val="20"/>
          <w:lang w:val="fr"/>
        </w:rPr>
        <w:t xml:space="preserve">. EC-LI.1 ; </w:t>
      </w:r>
      <w:proofErr w:type="spellStart"/>
      <w:r w:rsidR="00AF5CDB">
        <w:rPr>
          <w:rFonts w:cs="Arial"/>
          <w:sz w:val="20"/>
          <w:szCs w:val="20"/>
          <w:lang w:val="fr"/>
        </w:rPr>
        <w:t>Rés</w:t>
      </w:r>
      <w:proofErr w:type="spellEnd"/>
      <w:r w:rsidR="00AF5CDB">
        <w:rPr>
          <w:rFonts w:cs="Arial"/>
          <w:sz w:val="20"/>
          <w:szCs w:val="20"/>
          <w:lang w:val="fr"/>
        </w:rPr>
        <w:t>. EC-57/1]</w:t>
      </w:r>
    </w:p>
    <w:p w14:paraId="45B32A39" w14:textId="4F03C661" w:rsidR="000723F0" w:rsidRDefault="003C5CD1" w:rsidP="000D2E63">
      <w:pPr>
        <w:spacing w:after="240"/>
        <w:ind w:left="567" w:hanging="567"/>
        <w:rPr>
          <w:rFonts w:cs="Arial"/>
          <w:szCs w:val="22"/>
          <w:lang w:val="fr"/>
        </w:rPr>
      </w:pPr>
      <w:r>
        <w:rPr>
          <w:rFonts w:eastAsia="Times New Roman" w:cs="Arial"/>
          <w:b/>
          <w:bCs/>
          <w:szCs w:val="22"/>
          <w:lang w:eastAsia="en-US"/>
        </w:rPr>
        <w:t>5.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AF5CDB">
        <w:rPr>
          <w:rFonts w:cs="Arial"/>
          <w:b/>
          <w:bCs/>
          <w:szCs w:val="22"/>
          <w:lang w:val="fr"/>
        </w:rPr>
        <w:t>GOUVERNANCE, PROGRAMMATION ET BUDGÉTISATION</w:t>
      </w:r>
      <w:r w:rsidR="00AF5CDB">
        <w:rPr>
          <w:rFonts w:cs="Arial"/>
          <w:szCs w:val="22"/>
          <w:lang w:val="fr"/>
        </w:rPr>
        <w:br/>
      </w:r>
      <w:r w:rsidR="00AF5CDB" w:rsidRPr="0023767D">
        <w:rPr>
          <w:rFonts w:cs="Arial"/>
          <w:sz w:val="20"/>
          <w:szCs w:val="20"/>
          <w:lang w:val="fr"/>
        </w:rPr>
        <w:t>[Article 6B des Statuts]</w:t>
      </w:r>
    </w:p>
    <w:p w14:paraId="627B89F3" w14:textId="77777777" w:rsidR="00AF5CDB" w:rsidRDefault="00AF5CDB" w:rsidP="00AF5CDB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cs="Arial"/>
          <w:color w:val="000000"/>
          <w:szCs w:val="22"/>
          <w:lang w:val="fr"/>
        </w:rPr>
      </w:pPr>
      <w:r>
        <w:rPr>
          <w:rFonts w:cs="Arial"/>
          <w:color w:val="000000"/>
          <w:szCs w:val="22"/>
          <w:lang w:val="fr"/>
        </w:rPr>
        <w:t>5.1</w:t>
      </w:r>
      <w:r>
        <w:rPr>
          <w:rFonts w:cs="Arial"/>
          <w:color w:val="000000"/>
          <w:szCs w:val="22"/>
          <w:lang w:val="fr"/>
        </w:rPr>
        <w:tab/>
        <w:t xml:space="preserve">PROJET DE PROGRAMME ET BUDGET POUR 2026-2029 (PROJET DE 43 C/5, PREMIER EXERCICE BIENNAL DE LA PÉRIODE QUADRIENNALE 2026-2029)  </w:t>
      </w:r>
    </w:p>
    <w:p w14:paraId="7B92D45F" w14:textId="7970C7A3" w:rsidR="00AF5CDB" w:rsidRDefault="00AF5CDB" w:rsidP="00AF5CDB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cs="Arial"/>
          <w:sz w:val="20"/>
          <w:szCs w:val="20"/>
        </w:rPr>
      </w:pPr>
      <w:r>
        <w:rPr>
          <w:rFonts w:cs="Arial"/>
          <w:szCs w:val="22"/>
          <w:lang w:val="fr"/>
        </w:rPr>
        <w:t>5.2</w:t>
      </w:r>
      <w:r>
        <w:rPr>
          <w:rFonts w:cs="Arial"/>
          <w:szCs w:val="22"/>
          <w:lang w:val="fr"/>
        </w:rPr>
        <w:tab/>
        <w:t xml:space="preserve">ÉVALUATION DE LA GOUVERNANCE </w:t>
      </w:r>
      <w:r w:rsidR="0023767D">
        <w:rPr>
          <w:rFonts w:cs="Arial"/>
          <w:szCs w:val="22"/>
          <w:lang w:val="fr"/>
        </w:rPr>
        <w:br/>
      </w:r>
      <w:r>
        <w:rPr>
          <w:rFonts w:cs="Arial"/>
          <w:szCs w:val="22"/>
          <w:lang w:val="fr"/>
        </w:rPr>
        <w:t xml:space="preserve">ET DES PROCESSUS DE GESTION DE LA COI </w:t>
      </w:r>
      <w:r>
        <w:rPr>
          <w:rFonts w:cs="Arial"/>
          <w:szCs w:val="22"/>
          <w:lang w:val="fr"/>
        </w:rPr>
        <w:br/>
      </w:r>
      <w:r w:rsidRPr="0023767D">
        <w:rPr>
          <w:rFonts w:cs="Arial"/>
          <w:sz w:val="20"/>
          <w:szCs w:val="20"/>
          <w:lang w:val="fr"/>
        </w:rPr>
        <w:t>[</w:t>
      </w:r>
      <w:proofErr w:type="spellStart"/>
      <w:r w:rsidRPr="0023767D">
        <w:rPr>
          <w:rFonts w:cs="Arial"/>
          <w:sz w:val="20"/>
          <w:szCs w:val="20"/>
          <w:lang w:val="fr"/>
        </w:rPr>
        <w:t>Rés</w:t>
      </w:r>
      <w:proofErr w:type="spellEnd"/>
      <w:r w:rsidRPr="0023767D">
        <w:rPr>
          <w:rFonts w:cs="Arial"/>
          <w:sz w:val="20"/>
          <w:szCs w:val="20"/>
          <w:lang w:val="fr"/>
        </w:rPr>
        <w:t>. EC-57/2]</w:t>
      </w:r>
    </w:p>
    <w:p w14:paraId="4AEA340D" w14:textId="16D40FFC" w:rsidR="00AF5CDB" w:rsidRPr="00B13480" w:rsidRDefault="00AF5CDB" w:rsidP="00AF5CDB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cs="Arial"/>
          <w:szCs w:val="22"/>
        </w:rPr>
      </w:pPr>
      <w:r>
        <w:rPr>
          <w:rFonts w:cs="Arial"/>
          <w:szCs w:val="22"/>
          <w:lang w:val="fr"/>
        </w:rPr>
        <w:t>5.3</w:t>
      </w:r>
      <w:r>
        <w:rPr>
          <w:rFonts w:cs="Arial"/>
          <w:szCs w:val="22"/>
          <w:lang w:val="fr"/>
        </w:rPr>
        <w:tab/>
        <w:t xml:space="preserve">LA COI ET </w:t>
      </w:r>
      <w:r w:rsidRPr="00AF5CDB">
        <w:rPr>
          <w:rFonts w:eastAsia="Times New Roman" w:cs="Arial"/>
          <w:szCs w:val="22"/>
          <w:lang w:eastAsia="en-US"/>
        </w:rPr>
        <w:t>L’AVENIR</w:t>
      </w:r>
      <w:r>
        <w:rPr>
          <w:rFonts w:cs="Arial"/>
          <w:szCs w:val="22"/>
          <w:lang w:val="fr"/>
        </w:rPr>
        <w:t xml:space="preserve"> DU PROCESSUS DE CONSULTATION SUR LES OCÉANS</w:t>
      </w:r>
      <w:r>
        <w:rPr>
          <w:rFonts w:cs="Arial"/>
          <w:szCs w:val="22"/>
          <w:lang w:val="fr"/>
        </w:rPr>
        <w:br/>
      </w:r>
      <w:r w:rsidRPr="0023767D">
        <w:rPr>
          <w:rFonts w:cs="Arial"/>
          <w:sz w:val="20"/>
          <w:szCs w:val="20"/>
          <w:lang w:val="fr"/>
        </w:rPr>
        <w:t>[Déc. EC-55/3.</w:t>
      </w:r>
      <w:proofErr w:type="gramStart"/>
      <w:r w:rsidRPr="0023767D">
        <w:rPr>
          <w:rFonts w:cs="Arial"/>
          <w:sz w:val="20"/>
          <w:szCs w:val="20"/>
          <w:lang w:val="fr"/>
        </w:rPr>
        <w:t>2.Doc</w:t>
      </w:r>
      <w:proofErr w:type="gramEnd"/>
      <w:r w:rsidRPr="0023767D">
        <w:rPr>
          <w:rFonts w:cs="Arial"/>
          <w:sz w:val="20"/>
          <w:szCs w:val="20"/>
          <w:lang w:val="fr"/>
        </w:rPr>
        <w:t xml:space="preserve">(1) ; </w:t>
      </w:r>
      <w:proofErr w:type="spellStart"/>
      <w:r w:rsidRPr="0023767D">
        <w:rPr>
          <w:rFonts w:cs="Arial"/>
          <w:sz w:val="20"/>
          <w:szCs w:val="20"/>
          <w:lang w:val="fr"/>
        </w:rPr>
        <w:t>Rés</w:t>
      </w:r>
      <w:proofErr w:type="spellEnd"/>
      <w:r w:rsidRPr="0023767D">
        <w:rPr>
          <w:rFonts w:cs="Arial"/>
          <w:sz w:val="20"/>
          <w:szCs w:val="20"/>
          <w:lang w:val="fr"/>
        </w:rPr>
        <w:t xml:space="preserve">. XXX-3 ; Déc. EC-55/3.2 ; </w:t>
      </w:r>
      <w:proofErr w:type="spellStart"/>
      <w:r w:rsidRPr="0023767D">
        <w:rPr>
          <w:rFonts w:cs="Arial"/>
          <w:sz w:val="20"/>
          <w:szCs w:val="20"/>
          <w:lang w:val="fr"/>
        </w:rPr>
        <w:t>Rés</w:t>
      </w:r>
      <w:proofErr w:type="spellEnd"/>
      <w:r w:rsidRPr="0023767D">
        <w:rPr>
          <w:rFonts w:cs="Arial"/>
          <w:sz w:val="20"/>
          <w:szCs w:val="20"/>
          <w:lang w:val="fr"/>
        </w:rPr>
        <w:t>. EC-57/2]</w:t>
      </w:r>
    </w:p>
    <w:p w14:paraId="15DBB429" w14:textId="3042A7E5" w:rsidR="00AF5CDB" w:rsidRPr="00477B89" w:rsidRDefault="00AF5CDB" w:rsidP="00AF5CDB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cs="Arial"/>
          <w:szCs w:val="22"/>
        </w:rPr>
      </w:pPr>
      <w:r>
        <w:rPr>
          <w:rFonts w:cs="Arial"/>
          <w:szCs w:val="22"/>
          <w:lang w:val="fr"/>
        </w:rPr>
        <w:t>5.4</w:t>
      </w:r>
      <w:r>
        <w:rPr>
          <w:rFonts w:cs="Arial"/>
          <w:szCs w:val="22"/>
          <w:lang w:val="fr"/>
        </w:rPr>
        <w:tab/>
        <w:t xml:space="preserve">RAPPORT </w:t>
      </w:r>
      <w:r w:rsidRPr="00AF5CDB">
        <w:rPr>
          <w:rFonts w:eastAsia="Times New Roman" w:cs="Arial"/>
          <w:szCs w:val="22"/>
          <w:lang w:eastAsia="en-US"/>
        </w:rPr>
        <w:t>DU</w:t>
      </w:r>
      <w:r>
        <w:rPr>
          <w:rFonts w:cs="Arial"/>
          <w:szCs w:val="22"/>
          <w:lang w:val="fr"/>
        </w:rPr>
        <w:t xml:space="preserve"> PRÉSIDENT DU COMITÉ FINANCIER</w:t>
      </w:r>
      <w:r>
        <w:rPr>
          <w:rFonts w:cs="Arial"/>
          <w:szCs w:val="22"/>
          <w:lang w:val="fr"/>
        </w:rPr>
        <w:br/>
      </w:r>
      <w:r w:rsidRPr="0023767D">
        <w:rPr>
          <w:rFonts w:cs="Arial"/>
          <w:sz w:val="20"/>
          <w:szCs w:val="20"/>
          <w:lang w:val="fr"/>
        </w:rPr>
        <w:t>[Article 1.2 des Statuts]</w:t>
      </w:r>
    </w:p>
    <w:p w14:paraId="289B4FC7" w14:textId="1C90B9E8" w:rsidR="00AF5CDB" w:rsidRDefault="00AF5CDB" w:rsidP="00AF5CDB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cs="Arial"/>
          <w:szCs w:val="22"/>
        </w:rPr>
      </w:pPr>
      <w:r>
        <w:rPr>
          <w:rFonts w:cs="Arial"/>
          <w:szCs w:val="22"/>
          <w:lang w:val="fr"/>
        </w:rPr>
        <w:t>5.5</w:t>
      </w:r>
      <w:r>
        <w:rPr>
          <w:rFonts w:cs="Arial"/>
          <w:szCs w:val="22"/>
          <w:lang w:val="fr"/>
        </w:rPr>
        <w:tab/>
        <w:t xml:space="preserve">ÉLECTION </w:t>
      </w:r>
      <w:r w:rsidRPr="00AF5CDB">
        <w:rPr>
          <w:rFonts w:eastAsia="Times New Roman" w:cs="Arial"/>
          <w:szCs w:val="22"/>
          <w:lang w:eastAsia="en-US"/>
        </w:rPr>
        <w:t>DES</w:t>
      </w:r>
      <w:r>
        <w:rPr>
          <w:rFonts w:cs="Arial"/>
          <w:szCs w:val="22"/>
          <w:lang w:val="fr"/>
        </w:rPr>
        <w:t xml:space="preserve"> RESPONSABLES DE LA COMMISSION </w:t>
      </w:r>
      <w:r>
        <w:rPr>
          <w:rFonts w:cs="Arial"/>
          <w:szCs w:val="22"/>
          <w:lang w:val="fr"/>
        </w:rPr>
        <w:br/>
        <w:t>ET DES MEMBRES DU CONSEIL EXÉCUTIF</w:t>
      </w:r>
      <w:r>
        <w:rPr>
          <w:rFonts w:cs="Arial"/>
          <w:szCs w:val="22"/>
          <w:lang w:val="fr"/>
        </w:rPr>
        <w:br/>
      </w:r>
      <w:r w:rsidRPr="0023767D">
        <w:rPr>
          <w:rFonts w:cs="Arial"/>
          <w:sz w:val="20"/>
          <w:szCs w:val="20"/>
          <w:lang w:val="fr"/>
        </w:rPr>
        <w:t>[Art. 6.B.5 et 7 des Statuts ; Annexe I du règlement intérieur]</w:t>
      </w:r>
    </w:p>
    <w:p w14:paraId="695058B0" w14:textId="41E29550" w:rsidR="00AF5CDB" w:rsidRPr="000159DA" w:rsidRDefault="00AF5CDB" w:rsidP="00AF5CDB">
      <w:pPr>
        <w:tabs>
          <w:tab w:val="clear" w:pos="567"/>
          <w:tab w:val="left" w:pos="-737"/>
        </w:tabs>
        <w:spacing w:after="240"/>
        <w:ind w:left="1985" w:hanging="862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  <w:lang w:val="fr"/>
        </w:rPr>
        <w:t>5.5.1</w:t>
      </w:r>
      <w:r>
        <w:rPr>
          <w:rFonts w:cs="Arial"/>
          <w:b/>
          <w:bCs/>
          <w:szCs w:val="22"/>
          <w:lang w:val="fr"/>
        </w:rPr>
        <w:tab/>
        <w:t>Élection du Président de la Commission</w:t>
      </w:r>
    </w:p>
    <w:p w14:paraId="4A673825" w14:textId="7D9C4898" w:rsidR="00AF5CDB" w:rsidRPr="000159DA" w:rsidRDefault="00AF5CDB" w:rsidP="00AF5CDB">
      <w:pPr>
        <w:tabs>
          <w:tab w:val="clear" w:pos="567"/>
          <w:tab w:val="left" w:pos="-737"/>
        </w:tabs>
        <w:spacing w:after="240"/>
        <w:ind w:left="1985" w:hanging="862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5.5.2</w:t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  <w:lang w:val="fr"/>
        </w:rPr>
        <w:t>Élection des Vice-Présidents de la Commission</w:t>
      </w:r>
    </w:p>
    <w:p w14:paraId="74E1C5F8" w14:textId="46650F5B" w:rsidR="00AF5CDB" w:rsidRPr="000159DA" w:rsidRDefault="00AF5CDB" w:rsidP="00AF5CDB">
      <w:pPr>
        <w:tabs>
          <w:tab w:val="clear" w:pos="567"/>
          <w:tab w:val="left" w:pos="-737"/>
        </w:tabs>
        <w:spacing w:after="240"/>
        <w:ind w:left="1985" w:hanging="862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  <w:lang w:val="fr"/>
        </w:rPr>
        <w:t>5.5.3</w:t>
      </w:r>
      <w:r>
        <w:rPr>
          <w:rFonts w:cs="Arial"/>
          <w:b/>
          <w:bCs/>
          <w:szCs w:val="22"/>
          <w:lang w:val="fr"/>
        </w:rPr>
        <w:tab/>
        <w:t>Élection des membres du Conseil exécutif</w:t>
      </w:r>
    </w:p>
    <w:p w14:paraId="1474B5D4" w14:textId="76A7AAC7" w:rsidR="00AF5CDB" w:rsidRPr="00554688" w:rsidRDefault="00AF5CDB" w:rsidP="00AF5CDB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cs="Arial"/>
          <w:szCs w:val="22"/>
        </w:rPr>
      </w:pPr>
      <w:r>
        <w:rPr>
          <w:rFonts w:cs="Arial"/>
          <w:szCs w:val="22"/>
          <w:lang w:val="fr"/>
        </w:rPr>
        <w:t>5.6</w:t>
      </w:r>
      <w:r>
        <w:rPr>
          <w:rFonts w:cs="Arial"/>
          <w:szCs w:val="22"/>
          <w:lang w:val="fr"/>
        </w:rPr>
        <w:tab/>
        <w:t>34</w:t>
      </w:r>
      <w:r w:rsidRPr="004F35E6">
        <w:rPr>
          <w:rFonts w:cs="Arial"/>
          <w:szCs w:val="22"/>
          <w:vertAlign w:val="superscript"/>
          <w:lang w:val="fr"/>
        </w:rPr>
        <w:t>e</w:t>
      </w:r>
      <w:r>
        <w:rPr>
          <w:rFonts w:cs="Arial"/>
          <w:szCs w:val="22"/>
          <w:lang w:val="fr"/>
        </w:rPr>
        <w:t xml:space="preserve"> </w:t>
      </w:r>
      <w:r w:rsidRPr="00AF5CDB">
        <w:rPr>
          <w:rFonts w:eastAsia="Times New Roman" w:cs="Arial"/>
          <w:szCs w:val="22"/>
          <w:lang w:eastAsia="en-US"/>
        </w:rPr>
        <w:t>SESSION</w:t>
      </w:r>
      <w:r>
        <w:rPr>
          <w:rFonts w:cs="Arial"/>
          <w:szCs w:val="22"/>
          <w:lang w:val="fr"/>
        </w:rPr>
        <w:t xml:space="preserve"> DE L’ASSEMBLÉE ET 59</w:t>
      </w:r>
      <w:r w:rsidRPr="004F35E6">
        <w:rPr>
          <w:rFonts w:cs="Arial"/>
          <w:szCs w:val="22"/>
          <w:vertAlign w:val="superscript"/>
          <w:lang w:val="fr"/>
        </w:rPr>
        <w:t>e</w:t>
      </w:r>
      <w:r>
        <w:rPr>
          <w:rFonts w:cs="Arial"/>
          <w:szCs w:val="22"/>
          <w:lang w:val="fr"/>
        </w:rPr>
        <w:t xml:space="preserve"> SESSION DU CONSEIL EXÉCUTIF</w:t>
      </w:r>
      <w:r>
        <w:rPr>
          <w:rFonts w:cs="Arial"/>
          <w:szCs w:val="22"/>
          <w:lang w:val="fr"/>
        </w:rPr>
        <w:br/>
      </w:r>
      <w:r w:rsidRPr="0023767D">
        <w:rPr>
          <w:rFonts w:cs="Arial"/>
          <w:sz w:val="20"/>
          <w:szCs w:val="20"/>
          <w:lang w:val="fr"/>
        </w:rPr>
        <w:t>[Article 53 du Règlement intérieur]</w:t>
      </w:r>
    </w:p>
    <w:p w14:paraId="0567ADE5" w14:textId="4BAF2068" w:rsidR="000723F0" w:rsidRPr="000723F0" w:rsidRDefault="003C5CD1" w:rsidP="000D2E63">
      <w:pPr>
        <w:spacing w:after="240"/>
        <w:ind w:left="567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6.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AF5CDB">
        <w:rPr>
          <w:rFonts w:cs="Arial"/>
          <w:b/>
          <w:bCs/>
          <w:szCs w:val="22"/>
          <w:lang w:val="fr"/>
        </w:rPr>
        <w:t>ADOPTION DES RÉSOLUTIONS ET DES MODALITÉS DE FINALISATION DU RAPPORT</w:t>
      </w:r>
      <w:r w:rsidR="00AF5CDB">
        <w:rPr>
          <w:rFonts w:cs="Arial"/>
          <w:szCs w:val="22"/>
          <w:lang w:val="fr"/>
        </w:rPr>
        <w:br/>
      </w:r>
      <w:bookmarkStart w:id="2" w:name="_Hlk191029253"/>
      <w:r w:rsidR="00AF5CDB">
        <w:rPr>
          <w:rFonts w:cs="Arial"/>
          <w:sz w:val="20"/>
          <w:szCs w:val="20"/>
          <w:lang w:val="fr"/>
        </w:rPr>
        <w:t>[Article 30 du Règlement intérieur]</w:t>
      </w:r>
      <w:bookmarkEnd w:id="2"/>
    </w:p>
    <w:p w14:paraId="1548A09E" w14:textId="01FC8953" w:rsidR="006E2A83" w:rsidRPr="00346A0B" w:rsidRDefault="00AF5CDB" w:rsidP="00346A0B">
      <w:pPr>
        <w:spacing w:after="240"/>
        <w:ind w:left="567" w:hanging="567"/>
        <w:rPr>
          <w:rFonts w:eastAsia="Times New Roman" w:cs="Arial"/>
          <w:b/>
          <w:bCs/>
          <w:szCs w:val="22"/>
          <w:lang w:val="en-GB" w:eastAsia="en-US"/>
        </w:rPr>
      </w:pPr>
      <w:bookmarkStart w:id="3" w:name="_Toc141510532"/>
      <w:bookmarkStart w:id="4" w:name="OLE_LINK1"/>
      <w:bookmarkStart w:id="5" w:name="OLE_LINK2"/>
      <w:r>
        <w:rPr>
          <w:rFonts w:eastAsia="Times New Roman" w:cs="Arial"/>
          <w:b/>
          <w:bCs/>
          <w:szCs w:val="22"/>
          <w:lang w:eastAsia="en-US"/>
        </w:rPr>
        <w:t>7</w:t>
      </w:r>
      <w:r w:rsidR="003C5CD1">
        <w:rPr>
          <w:rFonts w:eastAsia="Times New Roman" w:cs="Arial"/>
          <w:b/>
          <w:bCs/>
          <w:szCs w:val="22"/>
          <w:lang w:eastAsia="en-US"/>
        </w:rPr>
        <w:t>.</w:t>
      </w:r>
      <w:r w:rsidR="003C5CD1">
        <w:rPr>
          <w:rFonts w:eastAsia="Times New Roman" w:cs="Arial"/>
          <w:b/>
          <w:bCs/>
          <w:szCs w:val="22"/>
          <w:lang w:eastAsia="en-US"/>
        </w:rPr>
        <w:tab/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>CLÔTURE</w:t>
      </w:r>
      <w:bookmarkEnd w:id="3"/>
      <w:bookmarkEnd w:id="4"/>
      <w:bookmarkEnd w:id="5"/>
    </w:p>
    <w:sectPr w:rsidR="006E2A83" w:rsidRPr="00346A0B" w:rsidSect="000723F0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851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F6AA2" w14:textId="77777777" w:rsidR="00D302AD" w:rsidRDefault="00D302AD">
      <w:r>
        <w:separator/>
      </w:r>
    </w:p>
  </w:endnote>
  <w:endnote w:type="continuationSeparator" w:id="0">
    <w:p w14:paraId="389F181C" w14:textId="77777777" w:rsidR="00D302AD" w:rsidRDefault="00D3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5F2FB" w14:textId="77777777" w:rsidR="00D302AD" w:rsidRDefault="00D302AD">
      <w:r>
        <w:separator/>
      </w:r>
    </w:p>
  </w:footnote>
  <w:footnote w:type="continuationSeparator" w:id="0">
    <w:p w14:paraId="25DBB8BC" w14:textId="77777777" w:rsidR="00D302AD" w:rsidRDefault="00D3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87D8F" w14:textId="522E44BD" w:rsidR="003F3C42" w:rsidRPr="00FF54F5" w:rsidRDefault="003F3C42" w:rsidP="003F3C42">
    <w:pPr>
      <w:pStyle w:val="Header"/>
      <w:spacing w:after="240"/>
      <w:rPr>
        <w:rFonts w:cs="Arial"/>
        <w:bCs/>
        <w:szCs w:val="22"/>
      </w:rPr>
    </w:pPr>
    <w:bookmarkStart w:id="6" w:name="_Hlk130197366"/>
    <w:r w:rsidRPr="00352423">
      <w:rPr>
        <w:rFonts w:cs="Arial"/>
        <w:bCs/>
        <w:szCs w:val="22"/>
      </w:rPr>
      <w:t>IOC/</w:t>
    </w:r>
    <w:r w:rsidR="000723F0">
      <w:rPr>
        <w:rFonts w:cs="Arial"/>
        <w:bCs/>
        <w:szCs w:val="22"/>
      </w:rPr>
      <w:t>A-3</w:t>
    </w:r>
    <w:r w:rsidR="00034BC3">
      <w:rPr>
        <w:rFonts w:cs="Arial"/>
        <w:bCs/>
        <w:szCs w:val="22"/>
      </w:rPr>
      <w:t>3</w:t>
    </w:r>
    <w:r w:rsidR="000723F0">
      <w:rPr>
        <w:rFonts w:cs="Arial"/>
        <w:bCs/>
        <w:szCs w:val="22"/>
      </w:rPr>
      <w:t>/2.</w:t>
    </w:r>
    <w:proofErr w:type="gramStart"/>
    <w:r w:rsidR="000723F0">
      <w:rPr>
        <w:rFonts w:cs="Arial"/>
        <w:bCs/>
        <w:szCs w:val="22"/>
      </w:rPr>
      <w:t>1.Doc</w:t>
    </w:r>
    <w:proofErr w:type="gramEnd"/>
    <w:r w:rsidR="000723F0">
      <w:rPr>
        <w:rFonts w:cs="Arial"/>
        <w:bCs/>
        <w:szCs w:val="22"/>
      </w:rPr>
      <w:t xml:space="preserve"> Prov.</w:t>
    </w:r>
    <w:bookmarkEnd w:id="6"/>
    <w:r w:rsidR="00346A0B">
      <w:rPr>
        <w:rFonts w:cs="Arial"/>
        <w:bCs/>
        <w:szCs w:val="22"/>
      </w:rPr>
      <w:t xml:space="preserve"> </w:t>
    </w:r>
    <w:proofErr w:type="spellStart"/>
    <w:r w:rsidR="00F960DA">
      <w:rPr>
        <w:rFonts w:cs="Arial"/>
        <w:bCs/>
        <w:szCs w:val="22"/>
      </w:rPr>
      <w:t>Rev</w:t>
    </w:r>
    <w:proofErr w:type="spellEnd"/>
    <w:r w:rsidR="00F960DA">
      <w:rPr>
        <w:rFonts w:cs="Arial"/>
        <w:bCs/>
        <w:szCs w:val="22"/>
      </w:rPr>
      <w:t>.</w:t>
    </w:r>
    <w:r w:rsidRPr="00FF54F5">
      <w:rPr>
        <w:rFonts w:cs="Arial"/>
        <w:bCs/>
        <w:szCs w:val="22"/>
      </w:rPr>
      <w:t xml:space="preserve"> – page </w:t>
    </w:r>
    <w:sdt>
      <w:sdtPr>
        <w:rPr>
          <w:rFonts w:cs="Arial"/>
          <w:bCs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Pr="00FF54F5">
          <w:rPr>
            <w:rFonts w:cs="Arial"/>
            <w:bCs/>
            <w:szCs w:val="22"/>
          </w:rPr>
          <w:fldChar w:fldCharType="begin"/>
        </w:r>
        <w:r w:rsidRPr="00FF54F5">
          <w:rPr>
            <w:rFonts w:cs="Arial"/>
            <w:bCs/>
            <w:szCs w:val="22"/>
          </w:rPr>
          <w:instrText>PAGE   \* MERGEFORMAT</w:instrText>
        </w:r>
        <w:r w:rsidRPr="00FF54F5">
          <w:rPr>
            <w:rFonts w:cs="Arial"/>
            <w:bCs/>
            <w:szCs w:val="22"/>
          </w:rPr>
          <w:fldChar w:fldCharType="separate"/>
        </w:r>
        <w:r>
          <w:rPr>
            <w:rFonts w:cs="Arial"/>
            <w:bCs/>
            <w:szCs w:val="22"/>
          </w:rPr>
          <w:t>2</w:t>
        </w:r>
        <w:r w:rsidRPr="00FF54F5">
          <w:rPr>
            <w:rFonts w:cs="Arial"/>
            <w:bCs/>
            <w:szCs w:val="22"/>
          </w:rPr>
          <w:fldChar w:fldCharType="end"/>
        </w:r>
      </w:sdtContent>
    </w:sdt>
  </w:p>
  <w:p w14:paraId="46CE599C" w14:textId="069EC3C1" w:rsidR="00755CED" w:rsidRPr="003F3C42" w:rsidRDefault="00755CED" w:rsidP="003F3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D428" w14:textId="72FEEA12" w:rsidR="00755CED" w:rsidRDefault="000723F0" w:rsidP="000723F0">
    <w:pPr>
      <w:pStyle w:val="Header"/>
      <w:jc w:val="right"/>
    </w:pPr>
    <w:r w:rsidRPr="00352423">
      <w:rPr>
        <w:rFonts w:cs="Arial"/>
        <w:bCs/>
        <w:szCs w:val="22"/>
      </w:rPr>
      <w:t>IOC/</w:t>
    </w:r>
    <w:r>
      <w:rPr>
        <w:rFonts w:cs="Arial"/>
        <w:bCs/>
        <w:szCs w:val="22"/>
      </w:rPr>
      <w:t>A-3</w:t>
    </w:r>
    <w:r w:rsidR="00034BC3">
      <w:rPr>
        <w:rFonts w:cs="Arial"/>
        <w:bCs/>
        <w:szCs w:val="22"/>
      </w:rPr>
      <w:t>3</w:t>
    </w:r>
    <w:r>
      <w:rPr>
        <w:rFonts w:cs="Arial"/>
        <w:bCs/>
        <w:szCs w:val="22"/>
      </w:rPr>
      <w:t>/2.</w:t>
    </w:r>
    <w:proofErr w:type="gramStart"/>
    <w:r>
      <w:rPr>
        <w:rFonts w:cs="Arial"/>
        <w:bCs/>
        <w:szCs w:val="22"/>
      </w:rPr>
      <w:t>1.Doc</w:t>
    </w:r>
    <w:proofErr w:type="gramEnd"/>
    <w:r>
      <w:rPr>
        <w:rFonts w:cs="Arial"/>
        <w:bCs/>
        <w:szCs w:val="22"/>
      </w:rPr>
      <w:t xml:space="preserve"> Prov.</w:t>
    </w:r>
    <w:r w:rsidR="00346A0B">
      <w:rPr>
        <w:rFonts w:cs="Arial"/>
        <w:bCs/>
        <w:szCs w:val="22"/>
      </w:rPr>
      <w:t xml:space="preserve"> </w:t>
    </w:r>
    <w:proofErr w:type="spellStart"/>
    <w:r w:rsidR="00346A0B">
      <w:rPr>
        <w:rFonts w:cs="Arial"/>
        <w:bCs/>
        <w:szCs w:val="22"/>
      </w:rPr>
      <w:t>Rev</w:t>
    </w:r>
    <w:proofErr w:type="spellEnd"/>
    <w:r w:rsidR="00346A0B">
      <w:rPr>
        <w:rFonts w:cs="Arial"/>
        <w:bCs/>
        <w:szCs w:val="22"/>
      </w:rPr>
      <w:t>.</w:t>
    </w:r>
    <w:r>
      <w:rPr>
        <w:rFonts w:cs="Arial"/>
        <w:bCs/>
        <w:szCs w:val="22"/>
      </w:rPr>
      <w:t xml:space="preserve"> – page </w:t>
    </w:r>
    <w:r w:rsidR="00755CED">
      <w:fldChar w:fldCharType="begin"/>
    </w:r>
    <w:r w:rsidR="00755CED">
      <w:instrText>PAGE   \* MERGEFORMAT</w:instrText>
    </w:r>
    <w:r w:rsidR="00755CED">
      <w:fldChar w:fldCharType="separate"/>
    </w:r>
    <w:r w:rsidR="004D05D2">
      <w:rPr>
        <w:noProof/>
      </w:rPr>
      <w:t>13</w:t>
    </w:r>
    <w:r w:rsidR="00755CED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7C99A" w14:textId="3A6F683D" w:rsidR="00EB3895" w:rsidRDefault="000723F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5F0820" wp14:editId="7CC2E59D">
              <wp:simplePos x="0" y="0"/>
              <wp:positionH relativeFrom="column">
                <wp:posOffset>3100166</wp:posOffset>
              </wp:positionH>
              <wp:positionV relativeFrom="paragraph">
                <wp:posOffset>-71207</wp:posOffset>
              </wp:positionV>
              <wp:extent cx="3275330" cy="1404620"/>
              <wp:effectExtent l="0" t="0" r="0" b="127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6242B4" w14:textId="129BB5CB" w:rsidR="00EB3895" w:rsidRPr="00B221F5" w:rsidRDefault="00EB3895" w:rsidP="001C5D1C">
                          <w:pPr>
                            <w:pStyle w:val="Marge"/>
                            <w:tabs>
                              <w:tab w:val="left" w:pos="6237"/>
                              <w:tab w:val="left" w:pos="7088"/>
                            </w:tabs>
                            <w:spacing w:after="0"/>
                            <w:jc w:val="left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bookmarkStart w:id="7" w:name="_Hlk54263549"/>
                          <w:r w:rsidRPr="001C5D1C">
                            <w:rPr>
                              <w:rFonts w:cs="Arial"/>
                              <w:b/>
                              <w:sz w:val="36"/>
                              <w:szCs w:val="36"/>
                              <w:lang w:val="en-US"/>
                            </w:rPr>
                            <w:t>IOC/</w:t>
                          </w:r>
                          <w:r w:rsidR="000723F0" w:rsidRPr="001C5D1C">
                            <w:rPr>
                              <w:rFonts w:cs="Arial"/>
                              <w:b/>
                              <w:sz w:val="36"/>
                              <w:szCs w:val="36"/>
                              <w:lang w:val="en-US"/>
                            </w:rPr>
                            <w:t>A-3</w:t>
                          </w:r>
                          <w:r w:rsidR="00B221F5">
                            <w:rPr>
                              <w:rFonts w:cs="Arial"/>
                              <w:b/>
                              <w:sz w:val="36"/>
                              <w:szCs w:val="36"/>
                              <w:lang w:val="en-US"/>
                            </w:rPr>
                            <w:t>3</w:t>
                          </w:r>
                          <w:r w:rsidRPr="001C5D1C">
                            <w:rPr>
                              <w:rFonts w:cs="Arial"/>
                              <w:b/>
                              <w:sz w:val="36"/>
                              <w:szCs w:val="36"/>
                              <w:lang w:val="en-US"/>
                            </w:rPr>
                            <w:t>/2.</w:t>
                          </w:r>
                          <w:proofErr w:type="gramStart"/>
                          <w:r w:rsidRPr="001C5D1C">
                            <w:rPr>
                              <w:rFonts w:cs="Arial"/>
                              <w:b/>
                              <w:sz w:val="36"/>
                              <w:szCs w:val="36"/>
                              <w:lang w:val="en-US"/>
                            </w:rPr>
                            <w:t>1.Doc</w:t>
                          </w:r>
                          <w:bookmarkEnd w:id="7"/>
                          <w:proofErr w:type="gramEnd"/>
                          <w:r w:rsidR="000723F0" w:rsidRPr="001C5D1C">
                            <w:rPr>
                              <w:rFonts w:cs="Arial"/>
                              <w:b/>
                              <w:sz w:val="36"/>
                              <w:szCs w:val="36"/>
                              <w:lang w:val="en-US"/>
                            </w:rPr>
                            <w:t xml:space="preserve"> Prov.</w:t>
                          </w:r>
                          <w:r w:rsidR="001C5D1C" w:rsidRPr="00B221F5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="00F960DA" w:rsidRPr="00B221F5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Rev</w:t>
                          </w:r>
                          <w:proofErr w:type="spellEnd"/>
                          <w:r w:rsidR="00F960DA" w:rsidRPr="00B221F5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.</w:t>
                          </w:r>
                        </w:p>
                        <w:p w14:paraId="10A5E3DC" w14:textId="21529756" w:rsidR="00EB3895" w:rsidRPr="002A5D14" w:rsidRDefault="00EB3895" w:rsidP="00EB3895">
                          <w:pPr>
                            <w:pStyle w:val="Marge"/>
                            <w:tabs>
                              <w:tab w:val="left" w:pos="6237"/>
                            </w:tabs>
                            <w:spacing w:after="0"/>
                            <w:rPr>
                              <w:rFonts w:cs="Arial"/>
                              <w:szCs w:val="22"/>
                            </w:rPr>
                          </w:pPr>
                          <w:r w:rsidRPr="002A5D14">
                            <w:rPr>
                              <w:rFonts w:cs="Arial"/>
                              <w:szCs w:val="22"/>
                            </w:rPr>
                            <w:t xml:space="preserve">Paris, le </w:t>
                          </w:r>
                          <w:r w:rsidR="00B221F5">
                            <w:rPr>
                              <w:rFonts w:cs="Arial"/>
                              <w:szCs w:val="22"/>
                            </w:rPr>
                            <w:t>5</w:t>
                          </w:r>
                          <w:r w:rsidR="00F960DA">
                            <w:rPr>
                              <w:rFonts w:cs="Arial"/>
                              <w:szCs w:val="22"/>
                            </w:rPr>
                            <w:t xml:space="preserve"> mai</w:t>
                          </w:r>
                          <w:r w:rsidRPr="002A5D14">
                            <w:rPr>
                              <w:rFonts w:cs="Arial"/>
                              <w:szCs w:val="22"/>
                            </w:rPr>
                            <w:t xml:space="preserve"> 202</w:t>
                          </w:r>
                          <w:r w:rsidR="00B221F5">
                            <w:rPr>
                              <w:rFonts w:cs="Arial"/>
                              <w:szCs w:val="22"/>
                            </w:rPr>
                            <w:t>5</w:t>
                          </w:r>
                          <w:r w:rsidRPr="002A5D14">
                            <w:rPr>
                              <w:rFonts w:cs="Arial"/>
                              <w:szCs w:val="22"/>
                            </w:rPr>
                            <w:t xml:space="preserve"> </w:t>
                          </w:r>
                        </w:p>
                        <w:p w14:paraId="03157CD4" w14:textId="567ECB1C" w:rsidR="00EB3895" w:rsidRPr="00EB3895" w:rsidRDefault="00EB3895" w:rsidP="00EB3895">
                          <w:pPr>
                            <w:pStyle w:val="Marge"/>
                            <w:tabs>
                              <w:tab w:val="left" w:pos="6237"/>
                            </w:tabs>
                            <w:rPr>
                              <w:rFonts w:cs="Arial"/>
                              <w:szCs w:val="22"/>
                            </w:rPr>
                          </w:pPr>
                          <w:r w:rsidRPr="002A5D14">
                            <w:rPr>
                              <w:rFonts w:cs="Arial"/>
                              <w:szCs w:val="22"/>
                            </w:rPr>
                            <w:t>Original anglais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5F082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44.1pt;margin-top:-5.6pt;width:257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4J+gEAAM4DAAAOAAAAZHJzL2Uyb0RvYy54bWysU8tu2zAQvBfoPxC815JfeQiWgzSpiwLp&#10;A0j7ATRFWURJLrukLaVfnyXlOEZ7K6oDQWq5szuzw9XNYA07KAwaXM2nk5Iz5SQ02u1q/uP75t0V&#10;ZyEK1wgDTtX8SQV+s377ZtX7Ss2gA9MoZATiQtX7mncx+qooguyUFWECXjkKtoBWRDrirmhQ9IRu&#10;TTEry4uiB2w8glQh0N/7McjXGb9tlYxf2zaoyEzNqbeYV8zrNq3FeiWqHQrfaXlsQ/xDF1ZoR0VP&#10;UPciCrZH/ReU1RIhQBsnEmwBbaulyhyIzbT8g81jJ7zKXEic4E8yhf8HK78cHv03ZHF4DwMNMJMI&#10;/gHkz8Ac3HXC7dQtIvSdEg0VnibJit6H6piapA5VSCDb/jM0NGSxj5CBhhZtUoV4MkKnATydRFdD&#10;ZJJ+zmeXy/mcQpJi00W5uJjlsRSiekn3GOJHBZalTc2RpprhxeEhxNSOqF6upGoONtqYPFnjWF/z&#10;6+VsmRPOIlZHMp7RtuZXZfpGKySWH1yTk6PQZtxTAeOOtBPTkXMctgNdTPS30DyRAAijwehB0KYD&#10;/M1ZT+aqefi1F6g4M58ciXg9XSySG/NhsbwkxgzPI9vziHCSoGoeORu3dzE7OHEN/pbE3ugsw2sn&#10;x17JNFmdo8GTK8/P+dbrM1w/AwAA//8DAFBLAwQUAAYACAAAACEACgZmy94AAAAMAQAADwAAAGRy&#10;cy9kb3ducmV2LnhtbEyPzU7DMBCE70i8g7WVuLV2ogqiEKeqUFuOQIk4u/GSRI1/ZLtpeHu2J7jN&#10;aD/NzlSb2YxswhAHZyVkKwEMbev0YDsJzed+WQCLSVmtRmdRwg9G2NT3d5UqtbvaD5yOqWMUYmOp&#10;JPQp+ZLz2PZoVFw5j5Zu3y4YlciGjuugrhRuRp4L8ciNGix96JXHlx7b8/FiJPjkD0+v4e19u9tP&#10;ovk6NPnQ7aR8WMzbZ2AJ5/QHw60+VYeaOp3cxerIRgnrosgJlbDMMhI3Qog1zTtJyEkCryv+f0T9&#10;CwAA//8DAFBLAQItABQABgAIAAAAIQC2gziS/gAAAOEBAAATAAAAAAAAAAAAAAAAAAAAAABbQ29u&#10;dGVudF9UeXBlc10ueG1sUEsBAi0AFAAGAAgAAAAhADj9If/WAAAAlAEAAAsAAAAAAAAAAAAAAAAA&#10;LwEAAF9yZWxzLy5yZWxzUEsBAi0AFAAGAAgAAAAhANiungn6AQAAzgMAAA4AAAAAAAAAAAAAAAAA&#10;LgIAAGRycy9lMm9Eb2MueG1sUEsBAi0AFAAGAAgAAAAhAAoGZsveAAAADAEAAA8AAAAAAAAAAAAA&#10;AAAAVAQAAGRycy9kb3ducmV2LnhtbFBLBQYAAAAABAAEAPMAAABfBQAAAAA=&#10;" filled="f" stroked="f">
              <v:textbox style="mso-fit-shape-to-text:t">
                <w:txbxContent>
                  <w:p w14:paraId="6C6242B4" w14:textId="129BB5CB" w:rsidR="00EB3895" w:rsidRPr="00B221F5" w:rsidRDefault="00EB3895" w:rsidP="001C5D1C">
                    <w:pPr>
                      <w:pStyle w:val="Marge"/>
                      <w:tabs>
                        <w:tab w:val="left" w:pos="6237"/>
                        <w:tab w:val="left" w:pos="7088"/>
                      </w:tabs>
                      <w:spacing w:after="0"/>
                      <w:jc w:val="left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bookmarkStart w:id="8" w:name="_Hlk54263549"/>
                    <w:r w:rsidRPr="001C5D1C">
                      <w:rPr>
                        <w:rFonts w:cs="Arial"/>
                        <w:b/>
                        <w:sz w:val="36"/>
                        <w:szCs w:val="36"/>
                        <w:lang w:val="en-US"/>
                      </w:rPr>
                      <w:t>IOC/</w:t>
                    </w:r>
                    <w:r w:rsidR="000723F0" w:rsidRPr="001C5D1C">
                      <w:rPr>
                        <w:rFonts w:cs="Arial"/>
                        <w:b/>
                        <w:sz w:val="36"/>
                        <w:szCs w:val="36"/>
                        <w:lang w:val="en-US"/>
                      </w:rPr>
                      <w:t>A-3</w:t>
                    </w:r>
                    <w:r w:rsidR="00B221F5">
                      <w:rPr>
                        <w:rFonts w:cs="Arial"/>
                        <w:b/>
                        <w:sz w:val="36"/>
                        <w:szCs w:val="36"/>
                        <w:lang w:val="en-US"/>
                      </w:rPr>
                      <w:t>3</w:t>
                    </w:r>
                    <w:r w:rsidRPr="001C5D1C">
                      <w:rPr>
                        <w:rFonts w:cs="Arial"/>
                        <w:b/>
                        <w:sz w:val="36"/>
                        <w:szCs w:val="36"/>
                        <w:lang w:val="en-US"/>
                      </w:rPr>
                      <w:t>/2.</w:t>
                    </w:r>
                    <w:proofErr w:type="gramStart"/>
                    <w:r w:rsidRPr="001C5D1C">
                      <w:rPr>
                        <w:rFonts w:cs="Arial"/>
                        <w:b/>
                        <w:sz w:val="36"/>
                        <w:szCs w:val="36"/>
                        <w:lang w:val="en-US"/>
                      </w:rPr>
                      <w:t>1.Doc</w:t>
                    </w:r>
                    <w:bookmarkEnd w:id="8"/>
                    <w:proofErr w:type="gramEnd"/>
                    <w:r w:rsidR="000723F0" w:rsidRPr="001C5D1C">
                      <w:rPr>
                        <w:rFonts w:cs="Arial"/>
                        <w:b/>
                        <w:sz w:val="36"/>
                        <w:szCs w:val="36"/>
                        <w:lang w:val="en-US"/>
                      </w:rPr>
                      <w:t xml:space="preserve"> Prov.</w:t>
                    </w:r>
                    <w:r w:rsidR="001C5D1C" w:rsidRPr="00B221F5">
                      <w:rPr>
                        <w:rFonts w:cs="Arial"/>
                        <w:b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 w:rsidR="00F960DA" w:rsidRPr="00B221F5">
                      <w:rPr>
                        <w:rFonts w:cs="Arial"/>
                        <w:b/>
                        <w:sz w:val="36"/>
                        <w:szCs w:val="36"/>
                      </w:rPr>
                      <w:t>Rev</w:t>
                    </w:r>
                    <w:proofErr w:type="spellEnd"/>
                    <w:r w:rsidR="00F960DA" w:rsidRPr="00B221F5">
                      <w:rPr>
                        <w:rFonts w:cs="Arial"/>
                        <w:b/>
                        <w:sz w:val="36"/>
                        <w:szCs w:val="36"/>
                      </w:rPr>
                      <w:t>.</w:t>
                    </w:r>
                  </w:p>
                  <w:p w14:paraId="10A5E3DC" w14:textId="21529756" w:rsidR="00EB3895" w:rsidRPr="002A5D14" w:rsidRDefault="00EB3895" w:rsidP="00EB3895">
                    <w:pPr>
                      <w:pStyle w:val="Marge"/>
                      <w:tabs>
                        <w:tab w:val="left" w:pos="6237"/>
                      </w:tabs>
                      <w:spacing w:after="0"/>
                      <w:rPr>
                        <w:rFonts w:cs="Arial"/>
                        <w:szCs w:val="22"/>
                      </w:rPr>
                    </w:pPr>
                    <w:r w:rsidRPr="002A5D14">
                      <w:rPr>
                        <w:rFonts w:cs="Arial"/>
                        <w:szCs w:val="22"/>
                      </w:rPr>
                      <w:t xml:space="preserve">Paris, le </w:t>
                    </w:r>
                    <w:r w:rsidR="00B221F5">
                      <w:rPr>
                        <w:rFonts w:cs="Arial"/>
                        <w:szCs w:val="22"/>
                      </w:rPr>
                      <w:t>5</w:t>
                    </w:r>
                    <w:r w:rsidR="00F960DA">
                      <w:rPr>
                        <w:rFonts w:cs="Arial"/>
                        <w:szCs w:val="22"/>
                      </w:rPr>
                      <w:t xml:space="preserve"> mai</w:t>
                    </w:r>
                    <w:r w:rsidRPr="002A5D14">
                      <w:rPr>
                        <w:rFonts w:cs="Arial"/>
                        <w:szCs w:val="22"/>
                      </w:rPr>
                      <w:t xml:space="preserve"> 202</w:t>
                    </w:r>
                    <w:r w:rsidR="00B221F5">
                      <w:rPr>
                        <w:rFonts w:cs="Arial"/>
                        <w:szCs w:val="22"/>
                      </w:rPr>
                      <w:t>5</w:t>
                    </w:r>
                    <w:r w:rsidRPr="002A5D14">
                      <w:rPr>
                        <w:rFonts w:cs="Arial"/>
                        <w:szCs w:val="22"/>
                      </w:rPr>
                      <w:t xml:space="preserve"> </w:t>
                    </w:r>
                  </w:p>
                  <w:p w14:paraId="03157CD4" w14:textId="567ECB1C" w:rsidR="00EB3895" w:rsidRPr="00EB3895" w:rsidRDefault="00EB3895" w:rsidP="00EB3895">
                    <w:pPr>
                      <w:pStyle w:val="Marge"/>
                      <w:tabs>
                        <w:tab w:val="left" w:pos="6237"/>
                      </w:tabs>
                      <w:rPr>
                        <w:rFonts w:cs="Arial"/>
                        <w:szCs w:val="22"/>
                      </w:rPr>
                    </w:pPr>
                    <w:r w:rsidRPr="002A5D14">
                      <w:rPr>
                        <w:rFonts w:cs="Arial"/>
                        <w:szCs w:val="22"/>
                      </w:rPr>
                      <w:t>Original anglais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71B9">
      <w:rPr>
        <w:rFonts w:cs="Arial"/>
        <w:b/>
        <w:noProof/>
        <w:snapToGrid/>
        <w:szCs w:val="22"/>
        <w:lang w:eastAsia="fr-FR"/>
      </w:rPr>
      <w:drawing>
        <wp:anchor distT="0" distB="0" distL="114300" distR="114300" simplePos="0" relativeHeight="251659264" behindDoc="0" locked="0" layoutInCell="1" allowOverlap="1" wp14:anchorId="50B79300" wp14:editId="2EBE22C5">
          <wp:simplePos x="0" y="0"/>
          <wp:positionH relativeFrom="column">
            <wp:posOffset>-103201</wp:posOffset>
          </wp:positionH>
          <wp:positionV relativeFrom="paragraph">
            <wp:posOffset>254000</wp:posOffset>
          </wp:positionV>
          <wp:extent cx="1578610" cy="1047115"/>
          <wp:effectExtent l="0" t="0" r="2540" b="63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895">
      <w:t>Distribution limitée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522D"/>
    <w:multiLevelType w:val="hybridMultilevel"/>
    <w:tmpl w:val="AAF29886"/>
    <w:lvl w:ilvl="0" w:tplc="365CB736">
      <w:start w:val="14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6674"/>
    <w:multiLevelType w:val="hybridMultilevel"/>
    <w:tmpl w:val="942A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1378B"/>
    <w:multiLevelType w:val="hybridMultilevel"/>
    <w:tmpl w:val="3B14E6C8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08A0156F"/>
    <w:multiLevelType w:val="hybridMultilevel"/>
    <w:tmpl w:val="09C4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1C9C"/>
    <w:multiLevelType w:val="hybridMultilevel"/>
    <w:tmpl w:val="23A85EFA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8B50160"/>
    <w:multiLevelType w:val="multilevel"/>
    <w:tmpl w:val="6A2A35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137" w:hanging="57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1F617D2A"/>
    <w:multiLevelType w:val="multilevel"/>
    <w:tmpl w:val="2BC6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907F22"/>
    <w:multiLevelType w:val="hybridMultilevel"/>
    <w:tmpl w:val="1E48F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14D83"/>
    <w:multiLevelType w:val="singleLevel"/>
    <w:tmpl w:val="6BB68568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9" w15:restartNumberingAfterBreak="0">
    <w:nsid w:val="346E1C6B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34FF52C0"/>
    <w:multiLevelType w:val="hybridMultilevel"/>
    <w:tmpl w:val="599ABC30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55082"/>
    <w:multiLevelType w:val="multilevel"/>
    <w:tmpl w:val="5CCC5E7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3A797719"/>
    <w:multiLevelType w:val="hybridMultilevel"/>
    <w:tmpl w:val="76925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1306C"/>
    <w:multiLevelType w:val="hybridMultilevel"/>
    <w:tmpl w:val="BC082A6A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31B9C"/>
    <w:multiLevelType w:val="hybridMultilevel"/>
    <w:tmpl w:val="DF569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D1543"/>
    <w:multiLevelType w:val="hybridMultilevel"/>
    <w:tmpl w:val="3622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0D662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A6FFD"/>
    <w:multiLevelType w:val="hybridMultilevel"/>
    <w:tmpl w:val="3314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E05B7"/>
    <w:multiLevelType w:val="hybridMultilevel"/>
    <w:tmpl w:val="B4ACCC7A"/>
    <w:lvl w:ilvl="0" w:tplc="04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548C3970"/>
    <w:multiLevelType w:val="hybridMultilevel"/>
    <w:tmpl w:val="9B720B5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04EE3"/>
    <w:multiLevelType w:val="hybridMultilevel"/>
    <w:tmpl w:val="599ABC30"/>
    <w:lvl w:ilvl="0" w:tplc="95B4AF8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976B3"/>
    <w:multiLevelType w:val="hybridMultilevel"/>
    <w:tmpl w:val="0C081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92D55"/>
    <w:multiLevelType w:val="hybridMultilevel"/>
    <w:tmpl w:val="B628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34174"/>
    <w:multiLevelType w:val="hybridMultilevel"/>
    <w:tmpl w:val="A2D6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469A9"/>
    <w:multiLevelType w:val="hybridMultilevel"/>
    <w:tmpl w:val="BC082A6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2451D"/>
    <w:multiLevelType w:val="hybridMultilevel"/>
    <w:tmpl w:val="0168714A"/>
    <w:lvl w:ilvl="0" w:tplc="B43E528A">
      <w:start w:val="1"/>
      <w:numFmt w:val="lowerRoman"/>
      <w:lvlText w:val="(%1)"/>
      <w:lvlJc w:val="left"/>
      <w:pPr>
        <w:ind w:left="-54" w:hanging="720"/>
      </w:pPr>
      <w:rPr>
        <w:rFonts w:ascii="Arial" w:hAnsi="Arial" w:cs="Arial"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306" w:hanging="360"/>
      </w:pPr>
    </w:lvl>
    <w:lvl w:ilvl="2" w:tplc="040C001B">
      <w:start w:val="1"/>
      <w:numFmt w:val="lowerRoman"/>
      <w:lvlText w:val="%3."/>
      <w:lvlJc w:val="right"/>
      <w:pPr>
        <w:ind w:left="1026" w:hanging="180"/>
      </w:pPr>
    </w:lvl>
    <w:lvl w:ilvl="3" w:tplc="040C000F">
      <w:start w:val="1"/>
      <w:numFmt w:val="decimal"/>
      <w:lvlText w:val="%4."/>
      <w:lvlJc w:val="left"/>
      <w:pPr>
        <w:ind w:left="1746" w:hanging="360"/>
      </w:pPr>
    </w:lvl>
    <w:lvl w:ilvl="4" w:tplc="040C0019">
      <w:start w:val="1"/>
      <w:numFmt w:val="lowerLetter"/>
      <w:lvlText w:val="%5."/>
      <w:lvlJc w:val="left"/>
      <w:pPr>
        <w:ind w:left="2466" w:hanging="360"/>
      </w:pPr>
    </w:lvl>
    <w:lvl w:ilvl="5" w:tplc="040C001B">
      <w:start w:val="1"/>
      <w:numFmt w:val="lowerRoman"/>
      <w:lvlText w:val="%6."/>
      <w:lvlJc w:val="right"/>
      <w:pPr>
        <w:ind w:left="3186" w:hanging="180"/>
      </w:pPr>
    </w:lvl>
    <w:lvl w:ilvl="6" w:tplc="040C000F">
      <w:start w:val="1"/>
      <w:numFmt w:val="decimal"/>
      <w:lvlText w:val="%7."/>
      <w:lvlJc w:val="left"/>
      <w:pPr>
        <w:ind w:left="3906" w:hanging="360"/>
      </w:pPr>
    </w:lvl>
    <w:lvl w:ilvl="7" w:tplc="040C0019">
      <w:start w:val="1"/>
      <w:numFmt w:val="lowerLetter"/>
      <w:lvlText w:val="%8."/>
      <w:lvlJc w:val="left"/>
      <w:pPr>
        <w:ind w:left="4626" w:hanging="360"/>
      </w:pPr>
    </w:lvl>
    <w:lvl w:ilvl="8" w:tplc="040C001B">
      <w:start w:val="1"/>
      <w:numFmt w:val="lowerRoman"/>
      <w:lvlText w:val="%9."/>
      <w:lvlJc w:val="right"/>
      <w:pPr>
        <w:ind w:left="5346" w:hanging="180"/>
      </w:pPr>
    </w:lvl>
  </w:abstractNum>
  <w:abstractNum w:abstractNumId="25" w15:restartNumberingAfterBreak="0">
    <w:nsid w:val="77E54C84"/>
    <w:multiLevelType w:val="hybridMultilevel"/>
    <w:tmpl w:val="6EA0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14570"/>
    <w:multiLevelType w:val="hybridMultilevel"/>
    <w:tmpl w:val="1988F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331786">
    <w:abstractNumId w:val="8"/>
  </w:num>
  <w:num w:numId="2" w16cid:durableId="1267154687">
    <w:abstractNumId w:val="8"/>
  </w:num>
  <w:num w:numId="3" w16cid:durableId="963846369">
    <w:abstractNumId w:val="4"/>
  </w:num>
  <w:num w:numId="4" w16cid:durableId="773785167">
    <w:abstractNumId w:val="19"/>
  </w:num>
  <w:num w:numId="5" w16cid:durableId="1013070056">
    <w:abstractNumId w:val="10"/>
  </w:num>
  <w:num w:numId="6" w16cid:durableId="1339650376">
    <w:abstractNumId w:val="13"/>
  </w:num>
  <w:num w:numId="7" w16cid:durableId="1812166786">
    <w:abstractNumId w:val="23"/>
  </w:num>
  <w:num w:numId="8" w16cid:durableId="1854416480">
    <w:abstractNumId w:val="18"/>
  </w:num>
  <w:num w:numId="9" w16cid:durableId="501549823">
    <w:abstractNumId w:val="4"/>
  </w:num>
  <w:num w:numId="10" w16cid:durableId="944380961">
    <w:abstractNumId w:val="4"/>
  </w:num>
  <w:num w:numId="11" w16cid:durableId="909577179">
    <w:abstractNumId w:val="4"/>
  </w:num>
  <w:num w:numId="12" w16cid:durableId="1677732752">
    <w:abstractNumId w:val="4"/>
  </w:num>
  <w:num w:numId="13" w16cid:durableId="1577281272">
    <w:abstractNumId w:val="15"/>
  </w:num>
  <w:num w:numId="14" w16cid:durableId="579562946">
    <w:abstractNumId w:val="1"/>
  </w:num>
  <w:num w:numId="15" w16cid:durableId="316300898">
    <w:abstractNumId w:val="14"/>
  </w:num>
  <w:num w:numId="16" w16cid:durableId="1343095299">
    <w:abstractNumId w:val="4"/>
  </w:num>
  <w:num w:numId="17" w16cid:durableId="1151142221">
    <w:abstractNumId w:val="2"/>
  </w:num>
  <w:num w:numId="18" w16cid:durableId="1353873736">
    <w:abstractNumId w:val="4"/>
  </w:num>
  <w:num w:numId="19" w16cid:durableId="58868506">
    <w:abstractNumId w:val="0"/>
  </w:num>
  <w:num w:numId="20" w16cid:durableId="10712709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2445787">
    <w:abstractNumId w:val="17"/>
  </w:num>
  <w:num w:numId="22" w16cid:durableId="1691495095">
    <w:abstractNumId w:val="6"/>
  </w:num>
  <w:num w:numId="23" w16cid:durableId="932591313">
    <w:abstractNumId w:val="25"/>
  </w:num>
  <w:num w:numId="24" w16cid:durableId="2087409397">
    <w:abstractNumId w:val="3"/>
  </w:num>
  <w:num w:numId="25" w16cid:durableId="1493058797">
    <w:abstractNumId w:val="21"/>
  </w:num>
  <w:num w:numId="26" w16cid:durableId="38868474">
    <w:abstractNumId w:val="7"/>
  </w:num>
  <w:num w:numId="27" w16cid:durableId="550772872">
    <w:abstractNumId w:val="20"/>
  </w:num>
  <w:num w:numId="28" w16cid:durableId="1107196363">
    <w:abstractNumId w:val="12"/>
  </w:num>
  <w:num w:numId="29" w16cid:durableId="888885141">
    <w:abstractNumId w:val="26"/>
  </w:num>
  <w:num w:numId="30" w16cid:durableId="321665268">
    <w:abstractNumId w:val="16"/>
  </w:num>
  <w:num w:numId="31" w16cid:durableId="1412461504">
    <w:abstractNumId w:val="22"/>
  </w:num>
  <w:num w:numId="32" w16cid:durableId="431317579">
    <w:abstractNumId w:val="9"/>
  </w:num>
  <w:num w:numId="33" w16cid:durableId="1526167761">
    <w:abstractNumId w:val="24"/>
  </w:num>
  <w:num w:numId="34" w16cid:durableId="734625580">
    <w:abstractNumId w:val="5"/>
  </w:num>
  <w:num w:numId="35" w16cid:durableId="1715538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6"/>
  <w:drawingGridVerticalSpacing w:val="6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C8"/>
    <w:rsid w:val="00034BC3"/>
    <w:rsid w:val="000723F0"/>
    <w:rsid w:val="00094A9C"/>
    <w:rsid w:val="000B0E4E"/>
    <w:rsid w:val="000C3822"/>
    <w:rsid w:val="000D2E63"/>
    <w:rsid w:val="000D39FC"/>
    <w:rsid w:val="000D4E4C"/>
    <w:rsid w:val="000E7AEA"/>
    <w:rsid w:val="000F1DBA"/>
    <w:rsid w:val="000F258B"/>
    <w:rsid w:val="00100A35"/>
    <w:rsid w:val="0011081B"/>
    <w:rsid w:val="0011114C"/>
    <w:rsid w:val="00177B08"/>
    <w:rsid w:val="001912E2"/>
    <w:rsid w:val="001A6E27"/>
    <w:rsid w:val="001C5D1C"/>
    <w:rsid w:val="001C6211"/>
    <w:rsid w:val="001E413E"/>
    <w:rsid w:val="001F1F04"/>
    <w:rsid w:val="001F5D62"/>
    <w:rsid w:val="00201171"/>
    <w:rsid w:val="00213953"/>
    <w:rsid w:val="0022046B"/>
    <w:rsid w:val="00234C33"/>
    <w:rsid w:val="0023767D"/>
    <w:rsid w:val="00261E65"/>
    <w:rsid w:val="002750C1"/>
    <w:rsid w:val="0029264C"/>
    <w:rsid w:val="00296D26"/>
    <w:rsid w:val="002B4B18"/>
    <w:rsid w:val="002D2C1D"/>
    <w:rsid w:val="002E70A1"/>
    <w:rsid w:val="002F39CA"/>
    <w:rsid w:val="00310E5D"/>
    <w:rsid w:val="00311ECE"/>
    <w:rsid w:val="003210F7"/>
    <w:rsid w:val="0032163E"/>
    <w:rsid w:val="0034355C"/>
    <w:rsid w:val="00346A0B"/>
    <w:rsid w:val="00346C46"/>
    <w:rsid w:val="003557A8"/>
    <w:rsid w:val="00363D04"/>
    <w:rsid w:val="003829C6"/>
    <w:rsid w:val="00397DEC"/>
    <w:rsid w:val="003B58D6"/>
    <w:rsid w:val="003C5CD1"/>
    <w:rsid w:val="003D46DA"/>
    <w:rsid w:val="003D4875"/>
    <w:rsid w:val="003D5587"/>
    <w:rsid w:val="003E2147"/>
    <w:rsid w:val="003E27AC"/>
    <w:rsid w:val="003F3C42"/>
    <w:rsid w:val="00401C01"/>
    <w:rsid w:val="0041299F"/>
    <w:rsid w:val="004573F3"/>
    <w:rsid w:val="004618DE"/>
    <w:rsid w:val="00463EA2"/>
    <w:rsid w:val="0047115D"/>
    <w:rsid w:val="00484032"/>
    <w:rsid w:val="00494C58"/>
    <w:rsid w:val="004A08CF"/>
    <w:rsid w:val="004A327F"/>
    <w:rsid w:val="004B08C6"/>
    <w:rsid w:val="004C1526"/>
    <w:rsid w:val="004C1D3F"/>
    <w:rsid w:val="004C3E47"/>
    <w:rsid w:val="004D05D2"/>
    <w:rsid w:val="004D0F08"/>
    <w:rsid w:val="00513180"/>
    <w:rsid w:val="005169D0"/>
    <w:rsid w:val="00533732"/>
    <w:rsid w:val="00596B7E"/>
    <w:rsid w:val="005B5EF5"/>
    <w:rsid w:val="005D54DD"/>
    <w:rsid w:val="005D6192"/>
    <w:rsid w:val="00623957"/>
    <w:rsid w:val="00632A9F"/>
    <w:rsid w:val="00655725"/>
    <w:rsid w:val="00665653"/>
    <w:rsid w:val="00673F0C"/>
    <w:rsid w:val="006835E4"/>
    <w:rsid w:val="0068583F"/>
    <w:rsid w:val="00695BA3"/>
    <w:rsid w:val="0069684F"/>
    <w:rsid w:val="006A3031"/>
    <w:rsid w:val="006C2C65"/>
    <w:rsid w:val="006C5D80"/>
    <w:rsid w:val="006D052A"/>
    <w:rsid w:val="006D36DB"/>
    <w:rsid w:val="006D6768"/>
    <w:rsid w:val="006E2A83"/>
    <w:rsid w:val="007449EA"/>
    <w:rsid w:val="00753AFA"/>
    <w:rsid w:val="00755CED"/>
    <w:rsid w:val="0076217F"/>
    <w:rsid w:val="007701CE"/>
    <w:rsid w:val="00773D5C"/>
    <w:rsid w:val="00783CE9"/>
    <w:rsid w:val="00792A5B"/>
    <w:rsid w:val="007A3E25"/>
    <w:rsid w:val="007A45CC"/>
    <w:rsid w:val="007A49EB"/>
    <w:rsid w:val="007A7EC6"/>
    <w:rsid w:val="007C403E"/>
    <w:rsid w:val="007D593C"/>
    <w:rsid w:val="007E6082"/>
    <w:rsid w:val="007F2BA5"/>
    <w:rsid w:val="007F78E8"/>
    <w:rsid w:val="00814BE9"/>
    <w:rsid w:val="00835BC3"/>
    <w:rsid w:val="0085153D"/>
    <w:rsid w:val="008608E4"/>
    <w:rsid w:val="008735A8"/>
    <w:rsid w:val="00873BED"/>
    <w:rsid w:val="00876C39"/>
    <w:rsid w:val="008852E4"/>
    <w:rsid w:val="008A581E"/>
    <w:rsid w:val="008A6802"/>
    <w:rsid w:val="008C24D0"/>
    <w:rsid w:val="008C59A5"/>
    <w:rsid w:val="00902342"/>
    <w:rsid w:val="00904C98"/>
    <w:rsid w:val="009053BE"/>
    <w:rsid w:val="009063B7"/>
    <w:rsid w:val="00907D3B"/>
    <w:rsid w:val="009173FE"/>
    <w:rsid w:val="00920B40"/>
    <w:rsid w:val="00932970"/>
    <w:rsid w:val="00972BBF"/>
    <w:rsid w:val="0098415A"/>
    <w:rsid w:val="009E53F6"/>
    <w:rsid w:val="009E6CEB"/>
    <w:rsid w:val="00A00B63"/>
    <w:rsid w:val="00A0253E"/>
    <w:rsid w:val="00A23875"/>
    <w:rsid w:val="00A33021"/>
    <w:rsid w:val="00A36041"/>
    <w:rsid w:val="00A44962"/>
    <w:rsid w:val="00A70F48"/>
    <w:rsid w:val="00AF5CDB"/>
    <w:rsid w:val="00B143FE"/>
    <w:rsid w:val="00B221F5"/>
    <w:rsid w:val="00B243F2"/>
    <w:rsid w:val="00B2519D"/>
    <w:rsid w:val="00B33A92"/>
    <w:rsid w:val="00B54018"/>
    <w:rsid w:val="00B54421"/>
    <w:rsid w:val="00B557FF"/>
    <w:rsid w:val="00B80382"/>
    <w:rsid w:val="00B872CA"/>
    <w:rsid w:val="00BC1245"/>
    <w:rsid w:val="00BD5A86"/>
    <w:rsid w:val="00BE3F20"/>
    <w:rsid w:val="00C05FC8"/>
    <w:rsid w:val="00C108A8"/>
    <w:rsid w:val="00C138E0"/>
    <w:rsid w:val="00C3501E"/>
    <w:rsid w:val="00C41845"/>
    <w:rsid w:val="00C84B6A"/>
    <w:rsid w:val="00C91036"/>
    <w:rsid w:val="00C97B94"/>
    <w:rsid w:val="00CA1880"/>
    <w:rsid w:val="00CA48CF"/>
    <w:rsid w:val="00CC085D"/>
    <w:rsid w:val="00CC3A67"/>
    <w:rsid w:val="00CC4825"/>
    <w:rsid w:val="00CC501A"/>
    <w:rsid w:val="00CE5093"/>
    <w:rsid w:val="00CE7C2F"/>
    <w:rsid w:val="00D23B0B"/>
    <w:rsid w:val="00D23EDD"/>
    <w:rsid w:val="00D302AD"/>
    <w:rsid w:val="00D4515E"/>
    <w:rsid w:val="00D53CBB"/>
    <w:rsid w:val="00D806A8"/>
    <w:rsid w:val="00D86646"/>
    <w:rsid w:val="00DA71B9"/>
    <w:rsid w:val="00DA7F8F"/>
    <w:rsid w:val="00DC1F0C"/>
    <w:rsid w:val="00DC7F96"/>
    <w:rsid w:val="00DD53BA"/>
    <w:rsid w:val="00DD6E32"/>
    <w:rsid w:val="00DF1829"/>
    <w:rsid w:val="00E174A3"/>
    <w:rsid w:val="00E55EEC"/>
    <w:rsid w:val="00E5717B"/>
    <w:rsid w:val="00E621C7"/>
    <w:rsid w:val="00E62C51"/>
    <w:rsid w:val="00E65D5E"/>
    <w:rsid w:val="00E71F05"/>
    <w:rsid w:val="00E80CF6"/>
    <w:rsid w:val="00E912CA"/>
    <w:rsid w:val="00EB3895"/>
    <w:rsid w:val="00EC44ED"/>
    <w:rsid w:val="00ED39E0"/>
    <w:rsid w:val="00F017CE"/>
    <w:rsid w:val="00F04FBD"/>
    <w:rsid w:val="00F077E7"/>
    <w:rsid w:val="00F85B2D"/>
    <w:rsid w:val="00F90CD8"/>
    <w:rsid w:val="00F92310"/>
    <w:rsid w:val="00F94805"/>
    <w:rsid w:val="00F960DA"/>
    <w:rsid w:val="00FC7B23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1C7C3A3"/>
  <w15:docId w15:val="{28A6BD04-9FF5-4433-985C-844F35F5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</w:rPr>
  </w:style>
  <w:style w:type="paragraph" w:styleId="Heading1">
    <w:name w:val="heading 1"/>
    <w:basedOn w:val="Normal"/>
    <w:next w:val="Marge"/>
    <w:qFormat/>
    <w:rsid w:val="001F1F04"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spacing w:after="240"/>
      <w:jc w:val="both"/>
      <w:outlineLvl w:val="6"/>
    </w:pPr>
    <w:rPr>
      <w:rFonts w:ascii="Times New Roman" w:hAnsi="Times New Roman"/>
      <w:snapToGrid/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uiPriority w:val="99"/>
    <w:pPr>
      <w:ind w:firstLine="0"/>
    </w:pPr>
  </w:style>
  <w:style w:type="paragraph" w:styleId="FootnoteText">
    <w:name w:val="footnote text"/>
    <w:basedOn w:val="Normal"/>
    <w:link w:val="FootnoteTextChar"/>
    <w:uiPriority w:val="99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3">
    <w:name w:val="Body Text 3"/>
    <w:basedOn w:val="Normal"/>
    <w:rPr>
      <w:color w:val="000080"/>
    </w:r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3"/>
      </w:numPr>
      <w:tabs>
        <w:tab w:val="clear" w:pos="567"/>
        <w:tab w:val="left" w:pos="851"/>
      </w:tabs>
      <w:adjustRightInd w:val="0"/>
      <w:spacing w:after="240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rFonts w:eastAsia="Times New Roman"/>
      <w:snapToGrid/>
      <w:szCs w:val="20"/>
      <w:lang w:eastAsia="fr-FR"/>
    </w:rPr>
  </w:style>
  <w:style w:type="paragraph" w:customStyle="1" w:styleId="tiret">
    <w:name w:val="tiret"/>
    <w:basedOn w:val="Marge"/>
    <w:pPr>
      <w:ind w:left="284" w:hanging="284"/>
    </w:pPr>
    <w:rPr>
      <w:lang w:val="en-GB"/>
    </w:rPr>
  </w:style>
  <w:style w:type="character" w:customStyle="1" w:styleId="PointSoul">
    <w:name w:val="PointSoul"/>
    <w:rPr>
      <w:u w:val="single"/>
    </w:rPr>
  </w:style>
  <w:style w:type="table" w:styleId="TableGrid">
    <w:name w:val="Table Grid"/>
    <w:basedOn w:val="TableNormal"/>
    <w:uiPriority w:val="59"/>
    <w:rsid w:val="00ED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36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6041"/>
    <w:rPr>
      <w:rFonts w:ascii="Tahoma" w:hAnsi="Tahoma" w:cs="Tahoma"/>
      <w:snapToGrid w:val="0"/>
      <w:sz w:val="16"/>
      <w:szCs w:val="16"/>
      <w:lang w:eastAsia="zh-CN"/>
    </w:rPr>
  </w:style>
  <w:style w:type="paragraph" w:styleId="BodyText">
    <w:name w:val="Body Text"/>
    <w:basedOn w:val="Normal"/>
    <w:link w:val="BodyTextChar"/>
    <w:rsid w:val="005169D0"/>
    <w:pPr>
      <w:spacing w:after="120"/>
    </w:pPr>
  </w:style>
  <w:style w:type="character" w:customStyle="1" w:styleId="BodyTextChar">
    <w:name w:val="Body Text Char"/>
    <w:link w:val="BodyText"/>
    <w:uiPriority w:val="99"/>
    <w:rsid w:val="005169D0"/>
    <w:rPr>
      <w:rFonts w:ascii="Arial" w:hAnsi="Arial"/>
      <w:snapToGrid w:val="0"/>
      <w:sz w:val="22"/>
      <w:szCs w:val="24"/>
    </w:rPr>
  </w:style>
  <w:style w:type="paragraph" w:styleId="ListParagraph">
    <w:name w:val="List Paragraph"/>
    <w:basedOn w:val="Normal"/>
    <w:uiPriority w:val="34"/>
    <w:qFormat/>
    <w:rsid w:val="005169D0"/>
    <w:pPr>
      <w:tabs>
        <w:tab w:val="clear" w:pos="567"/>
      </w:tabs>
      <w:snapToGrid/>
      <w:spacing w:after="200" w:line="276" w:lineRule="auto"/>
      <w:ind w:left="720"/>
      <w:contextualSpacing/>
    </w:pPr>
    <w:rPr>
      <w:rFonts w:ascii="Calibri" w:hAnsi="Calibri"/>
      <w:snapToGrid/>
      <w:szCs w:val="22"/>
      <w:lang w:val="en-GB" w:eastAsia="en-GB"/>
    </w:rPr>
  </w:style>
  <w:style w:type="paragraph" w:styleId="NormalWeb">
    <w:name w:val="Normal (Web)"/>
    <w:basedOn w:val="Normal"/>
    <w:uiPriority w:val="99"/>
    <w:rsid w:val="00B872CA"/>
    <w:pPr>
      <w:tabs>
        <w:tab w:val="clear" w:pos="567"/>
      </w:tabs>
      <w:suppressAutoHyphens/>
      <w:overflowPunct w:val="0"/>
      <w:autoSpaceDE w:val="0"/>
      <w:snapToGrid/>
      <w:spacing w:before="280" w:after="280"/>
      <w:textAlignment w:val="baseline"/>
    </w:pPr>
    <w:rPr>
      <w:rFonts w:ascii="Times New Roman" w:eastAsia="Times New Roman" w:hAnsi="Times New Roman"/>
      <w:snapToGrid/>
      <w:sz w:val="24"/>
      <w:szCs w:val="20"/>
      <w:lang w:val="en-US" w:eastAsia="ar-SA"/>
    </w:rPr>
  </w:style>
  <w:style w:type="paragraph" w:customStyle="1" w:styleId="Default">
    <w:name w:val="Default"/>
    <w:rsid w:val="006D05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de-DE" w:eastAsia="en-US"/>
    </w:rPr>
  </w:style>
  <w:style w:type="character" w:customStyle="1" w:styleId="admitted">
    <w:name w:val="admitted"/>
    <w:rsid w:val="00100A35"/>
  </w:style>
  <w:style w:type="character" w:customStyle="1" w:styleId="hps">
    <w:name w:val="hps"/>
    <w:uiPriority w:val="99"/>
    <w:rsid w:val="00100A35"/>
  </w:style>
  <w:style w:type="character" w:styleId="Hyperlink">
    <w:name w:val="Hyperlink"/>
    <w:uiPriority w:val="99"/>
    <w:unhideWhenUsed/>
    <w:rsid w:val="00100A3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00A35"/>
    <w:pPr>
      <w:tabs>
        <w:tab w:val="clear" w:pos="567"/>
        <w:tab w:val="right" w:leader="dot" w:pos="9071"/>
      </w:tabs>
      <w:snapToGrid/>
    </w:pPr>
    <w:rPr>
      <w:rFonts w:eastAsia="Calibri" w:cs="Arial"/>
      <w:noProof/>
      <w:snapToGrid/>
      <w:szCs w:val="22"/>
      <w:lang w:val="en-GB" w:eastAsia="de-DE"/>
    </w:rPr>
  </w:style>
  <w:style w:type="character" w:customStyle="1" w:styleId="newskoshortdesc">
    <w:name w:val="newskoshortdesc"/>
    <w:basedOn w:val="DefaultParagraphFont"/>
    <w:rsid w:val="007A7EC6"/>
  </w:style>
  <w:style w:type="character" w:customStyle="1" w:styleId="newskolongdesc">
    <w:name w:val="newskolongdesc"/>
    <w:basedOn w:val="DefaultParagraphFont"/>
    <w:rsid w:val="007A7EC6"/>
  </w:style>
  <w:style w:type="paragraph" w:styleId="Title">
    <w:name w:val="Title"/>
    <w:basedOn w:val="Normal"/>
    <w:link w:val="TitleChar"/>
    <w:qFormat/>
    <w:rsid w:val="007A7EC6"/>
    <w:pPr>
      <w:tabs>
        <w:tab w:val="clear" w:pos="567"/>
      </w:tabs>
      <w:snapToGrid/>
      <w:jc w:val="center"/>
    </w:pPr>
    <w:rPr>
      <w:rFonts w:ascii="Times New Roman" w:eastAsia="Times New Roman" w:hAnsi="Times New Roman"/>
      <w:b/>
      <w:snapToGrid/>
      <w:sz w:val="24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7A7EC6"/>
    <w:rPr>
      <w:rFonts w:eastAsia="Times New Roman"/>
      <w:b/>
      <w:sz w:val="24"/>
      <w:lang w:val="en-GB" w:eastAsia="en-US"/>
    </w:rPr>
  </w:style>
  <w:style w:type="character" w:customStyle="1" w:styleId="Style2">
    <w:name w:val="Style2"/>
    <w:rsid w:val="007A7EC6"/>
    <w:rPr>
      <w:rFonts w:ascii="Arial Black" w:hAnsi="Arial Black"/>
      <w:caps/>
      <w:sz w:val="18"/>
      <w:szCs w:val="22"/>
      <w:u w:val="single"/>
    </w:rPr>
  </w:style>
  <w:style w:type="table" w:styleId="TableWeb1">
    <w:name w:val="Table Web 1"/>
    <w:basedOn w:val="TableNormal"/>
    <w:rsid w:val="007A7EC6"/>
    <w:rPr>
      <w:rFonts w:eastAsia="Times New Roman"/>
      <w:lang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rsid w:val="007A7EC6"/>
    <w:pPr>
      <w:tabs>
        <w:tab w:val="clear" w:pos="567"/>
      </w:tabs>
      <w:snapToGrid/>
    </w:pPr>
    <w:rPr>
      <w:rFonts w:ascii="Courier New" w:eastAsia="Times New Roman" w:hAnsi="Courier New"/>
      <w:snapToGrid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7A7EC6"/>
    <w:rPr>
      <w:rFonts w:ascii="Courier New" w:eastAsia="Times New Roman" w:hAnsi="Courier New"/>
      <w:lang w:val="en-US" w:eastAsia="en-US"/>
    </w:rPr>
  </w:style>
  <w:style w:type="character" w:styleId="Strong">
    <w:name w:val="Strong"/>
    <w:qFormat/>
    <w:rsid w:val="007A7EC6"/>
    <w:rPr>
      <w:b/>
      <w:bCs/>
    </w:rPr>
  </w:style>
  <w:style w:type="table" w:styleId="TableWeb2">
    <w:name w:val="Table Web 2"/>
    <w:basedOn w:val="TableNormal"/>
    <w:rsid w:val="007A7EC6"/>
    <w:rPr>
      <w:rFonts w:eastAsia="Times New Roman"/>
      <w:lang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A7EC6"/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7A7EC6"/>
    <w:pPr>
      <w:tabs>
        <w:tab w:val="clear" w:pos="567"/>
      </w:tabs>
      <w:snapToGrid/>
      <w:ind w:left="720"/>
      <w:jc w:val="both"/>
    </w:pPr>
    <w:rPr>
      <w:rFonts w:eastAsia="Times New Roman"/>
      <w:snapToGrid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A7EC6"/>
    <w:rPr>
      <w:rFonts w:ascii="Arial" w:eastAsia="Times New Roman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7A7EC6"/>
    <w:pPr>
      <w:widowControl w:val="0"/>
      <w:tabs>
        <w:tab w:val="clear" w:pos="567"/>
      </w:tabs>
      <w:snapToGrid/>
      <w:spacing w:line="280" w:lineRule="exact"/>
      <w:ind w:left="720" w:hanging="720"/>
    </w:pPr>
    <w:rPr>
      <w:rFonts w:eastAsia="Times New Roman" w:cs="Arial"/>
      <w:snapToGrid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7A7EC6"/>
    <w:rPr>
      <w:rFonts w:ascii="Arial" w:eastAsia="Times New Roman" w:hAnsi="Arial" w:cs="Arial"/>
      <w:sz w:val="22"/>
      <w:lang w:val="en-GB" w:eastAsia="en-US"/>
    </w:rPr>
  </w:style>
  <w:style w:type="character" w:styleId="Emphasis">
    <w:name w:val="Emphasis"/>
    <w:uiPriority w:val="20"/>
    <w:qFormat/>
    <w:rsid w:val="007A7EC6"/>
    <w:rPr>
      <w:b/>
      <w:bCs/>
      <w:i w:val="0"/>
      <w:iCs w:val="0"/>
    </w:rPr>
  </w:style>
  <w:style w:type="paragraph" w:styleId="Date">
    <w:name w:val="Date"/>
    <w:basedOn w:val="Normal"/>
    <w:next w:val="Normal"/>
    <w:link w:val="DateChar"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4"/>
      <w:lang w:val="x-none" w:eastAsia="en-US"/>
    </w:rPr>
  </w:style>
  <w:style w:type="character" w:customStyle="1" w:styleId="DateChar">
    <w:name w:val="Date Char"/>
    <w:basedOn w:val="DefaultParagraphFont"/>
    <w:link w:val="Date"/>
    <w:rsid w:val="007A7EC6"/>
    <w:rPr>
      <w:rFonts w:eastAsia="Times New Roman"/>
      <w:sz w:val="24"/>
      <w:szCs w:val="24"/>
      <w:lang w:val="x-none" w:eastAsia="en-US"/>
    </w:rPr>
  </w:style>
  <w:style w:type="paragraph" w:styleId="NoSpacing">
    <w:name w:val="No Spacing"/>
    <w:basedOn w:val="Normal"/>
    <w:link w:val="NoSpacingChar"/>
    <w:qFormat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4"/>
      <w:lang w:eastAsia="fr-FR"/>
    </w:rPr>
  </w:style>
  <w:style w:type="character" w:customStyle="1" w:styleId="NoSpacingChar">
    <w:name w:val="No Spacing Char"/>
    <w:link w:val="NoSpacing"/>
    <w:rsid w:val="007A7EC6"/>
    <w:rPr>
      <w:rFonts w:eastAsia="Times New Roman"/>
      <w:sz w:val="24"/>
      <w:szCs w:val="24"/>
      <w:lang w:eastAsia="fr-FR"/>
    </w:rPr>
  </w:style>
  <w:style w:type="character" w:styleId="FollowedHyperlink">
    <w:name w:val="FollowedHyperlink"/>
    <w:rsid w:val="007A7EC6"/>
    <w:rPr>
      <w:color w:val="800080"/>
      <w:u w:val="single"/>
    </w:rPr>
  </w:style>
  <w:style w:type="character" w:customStyle="1" w:styleId="fn">
    <w:name w:val="fn"/>
    <w:basedOn w:val="DefaultParagraphFont"/>
    <w:rsid w:val="007A7EC6"/>
  </w:style>
  <w:style w:type="character" w:styleId="CommentReference">
    <w:name w:val="annotation reference"/>
    <w:rsid w:val="007A7E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7A7EC6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EC6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7A7EC6"/>
    <w:rPr>
      <w:rFonts w:eastAsia="Times New Roman"/>
      <w:b/>
      <w:bCs/>
      <w:lang w:val="x-none" w:eastAsia="x-none"/>
    </w:rPr>
  </w:style>
  <w:style w:type="paragraph" w:styleId="Revision">
    <w:name w:val="Revision"/>
    <w:hidden/>
    <w:uiPriority w:val="99"/>
    <w:semiHidden/>
    <w:rsid w:val="007A7EC6"/>
    <w:rPr>
      <w:rFonts w:eastAsia="Times New Roman"/>
      <w:sz w:val="24"/>
      <w:szCs w:val="24"/>
      <w:lang w:val="en-US" w:eastAsia="en-US"/>
    </w:rPr>
  </w:style>
  <w:style w:type="table" w:customStyle="1" w:styleId="TableGrid0">
    <w:name w:val="TableGrid"/>
    <w:rsid w:val="007A7EC6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rsid w:val="007A7EC6"/>
  </w:style>
  <w:style w:type="character" w:customStyle="1" w:styleId="FootnoteTextChar">
    <w:name w:val="Footnote Text Char"/>
    <w:link w:val="FootnoteText"/>
    <w:uiPriority w:val="99"/>
    <w:semiHidden/>
    <w:rsid w:val="007A7EC6"/>
    <w:rPr>
      <w:rFonts w:ascii="Arial" w:eastAsia="Times New Roman" w:hAnsi="Arial"/>
      <w:snapToGrid w:val="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A7EC6"/>
    <w:pPr>
      <w:widowControl w:val="0"/>
      <w:tabs>
        <w:tab w:val="clear" w:pos="567"/>
      </w:tabs>
      <w:autoSpaceDE w:val="0"/>
      <w:autoSpaceDN w:val="0"/>
      <w:snapToGrid/>
      <w:ind w:left="107"/>
    </w:pPr>
    <w:rPr>
      <w:rFonts w:eastAsia="Arial" w:cs="Arial"/>
      <w:snapToGrid/>
      <w:szCs w:val="22"/>
      <w:lang w:val="en-US" w:eastAsia="en-US" w:bidi="en-US"/>
    </w:rPr>
  </w:style>
  <w:style w:type="table" w:styleId="TableClassic1">
    <w:name w:val="Table Classic 1"/>
    <w:basedOn w:val="TableNormal"/>
    <w:rsid w:val="007A7EC6"/>
    <w:rPr>
      <w:rFonts w:eastAsia="Times New Roman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A7EC6"/>
    <w:rPr>
      <w:rFonts w:eastAsia="Times New Roman"/>
      <w:lang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A7EC6"/>
    <w:rPr>
      <w:rFonts w:eastAsia="Times New Roman"/>
      <w:lang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A7EC6"/>
    <w:rPr>
      <w:rFonts w:eastAsia="Times New Roman"/>
      <w:lang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7A7EC6"/>
    <w:rPr>
      <w:rFonts w:eastAsia="Times New Roman"/>
      <w:lang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msonormal">
    <w:name w:val="x_msonormal"/>
    <w:basedOn w:val="Normal"/>
    <w:uiPriority w:val="99"/>
    <w:rsid w:val="007A7EC6"/>
    <w:pPr>
      <w:tabs>
        <w:tab w:val="clear" w:pos="567"/>
      </w:tabs>
      <w:snapToGrid/>
    </w:pPr>
    <w:rPr>
      <w:rFonts w:ascii="Calibri" w:eastAsia="Calibri" w:hAnsi="Calibri"/>
      <w:snapToGrid/>
      <w:szCs w:val="22"/>
      <w:lang w:eastAsia="fr-FR"/>
    </w:rPr>
  </w:style>
  <w:style w:type="paragraph" w:styleId="EndnoteText">
    <w:name w:val="endnote text"/>
    <w:basedOn w:val="Normal"/>
    <w:link w:val="EndnoteTextChar"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rsid w:val="007A7EC6"/>
    <w:rPr>
      <w:rFonts w:eastAsia="Times New Roman"/>
      <w:lang w:val="en-US" w:eastAsia="en-US"/>
    </w:rPr>
  </w:style>
  <w:style w:type="character" w:styleId="EndnoteReference">
    <w:name w:val="endnote reference"/>
    <w:rsid w:val="007A7EC6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3C42"/>
    <w:rPr>
      <w:rFonts w:ascii="Arial" w:eastAsia="Times New Roman" w:hAnsi="Arial"/>
      <w:snapToGrid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B20C-12F1-4343-B109-22E8025CE8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4163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océanographique intergouvernementale (de l’UNESCO) – Trente-deuxième session du Conseil exécutif – UNESCO, Paris, 21-30 juin 2023 – Ordre du jour provisoire révisé</vt:lpstr>
    </vt:vector>
  </TitlesOfParts>
  <Company>Unesco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océanographique intergouvernementale (de l’UNESCO) – Trente-troisième session du Conseil exécutif – UNESCO, Paris, 25 juin – 3 juillet 2025– Ordre du jour provisoire révisé</dc:title>
  <dc:subject>IOC/A-33/2.1.Doc Prov. Rev.</dc:subject>
  <dc:creator>as.machu@unesco.org</dc:creator>
  <cp:keywords>18.12F</cp:keywords>
  <dc:description/>
  <cp:lastModifiedBy>Boned, Patrice</cp:lastModifiedBy>
  <cp:revision>2</cp:revision>
  <cp:lastPrinted>2012-08-02T14:52:00Z</cp:lastPrinted>
  <dcterms:created xsi:type="dcterms:W3CDTF">2025-05-15T08:35:00Z</dcterms:created>
  <dcterms:modified xsi:type="dcterms:W3CDTF">2025-05-15T08:35:00Z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F</vt:lpwstr>
  </property>
  <property fmtid="{D5CDD505-2E9C-101B-9397-08002B2CF9AE}" pid="3" name="JobDCPMS">
    <vt:lpwstr>202301636</vt:lpwstr>
  </property>
  <property fmtid="{D5CDD505-2E9C-101B-9397-08002B2CF9AE}" pid="4" name="JobNumber">
    <vt:lpwstr>2500448F</vt:lpwstr>
  </property>
  <property fmtid="{D5CDD505-2E9C-101B-9397-08002B2CF9AE}" pid="5" name="ForceJobNumber">
    <vt:bool>false</vt:bool>
  </property>
</Properties>
</file>