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9EB2C" w14:textId="78FE5A5B" w:rsidR="001312C4" w:rsidRPr="001230A9" w:rsidRDefault="001230A9" w:rsidP="001230A9">
      <w:pPr>
        <w:tabs>
          <w:tab w:val="left" w:pos="709"/>
        </w:tabs>
        <w:snapToGrid w:val="0"/>
        <w:spacing w:after="240" w:line="240" w:lineRule="auto"/>
        <w:jc w:val="center"/>
        <w:rPr>
          <w:rFonts w:ascii="Arial" w:eastAsia="Arial" w:hAnsi="Arial" w:cs="Arial"/>
          <w:b/>
          <w:bCs/>
          <w:snapToGrid w:val="0"/>
          <w:lang w:val="es-ES_tradnl"/>
        </w:rPr>
      </w:pPr>
      <w:r w:rsidRPr="001230A9">
        <w:rPr>
          <w:rFonts w:ascii="Arial" w:hAnsi="Arial" w:cs="Arial"/>
          <w:b/>
          <w:bCs/>
          <w:lang w:val="es-ES"/>
        </w:rPr>
        <w:t>Resumen ejecutivo</w:t>
      </w:r>
    </w:p>
    <w:p w14:paraId="2A2DAA49" w14:textId="535A7628" w:rsidR="00A40455" w:rsidRPr="001230A9" w:rsidRDefault="001230A9" w:rsidP="001230A9">
      <w:pPr>
        <w:tabs>
          <w:tab w:val="left" w:pos="709"/>
        </w:tabs>
        <w:snapToGrid w:val="0"/>
        <w:spacing w:after="240" w:line="240" w:lineRule="auto"/>
        <w:jc w:val="both"/>
        <w:rPr>
          <w:rFonts w:ascii="Arial" w:eastAsia="Arial" w:hAnsi="Arial" w:cs="Arial"/>
          <w:snapToGrid w:val="0"/>
          <w:lang w:val="es-ES_tradnl"/>
        </w:rPr>
      </w:pPr>
      <w:r w:rsidRPr="001230A9">
        <w:rPr>
          <w:rFonts w:ascii="Arial" w:hAnsi="Arial" w:cs="Arial"/>
          <w:lang w:val="es-ES_tradnl"/>
        </w:rPr>
        <w:t>La 18ª reunión del Grupo de Trabajo sobre los Sistemas de Alerta contra los Tsunamis y Otros Peligros relacionados con el Nivel del Mar y Atenuación de sus Efectos (TOWS-WG-XVIII) se celebró en formato híbrido (presencial y en línea), los días 24 y 25 de febrero de 2025, bajo la presidencia del Sr. Amr Zakaria Hamouda (Vicepresidente de la COI). En la reunión se evaluaron los progresos realizados con respecto a la decisión A-32/4.3.1 de la Asamblea de la COI y la decisión EC-57/3.2.1 del Consejo Ejecutivo de la COI.</w:t>
      </w:r>
    </w:p>
    <w:p w14:paraId="5476D929" w14:textId="77777777" w:rsidR="001230A9" w:rsidRPr="00631560" w:rsidRDefault="001230A9" w:rsidP="001230A9">
      <w:pPr>
        <w:tabs>
          <w:tab w:val="left" w:pos="709"/>
        </w:tabs>
        <w:snapToGrid w:val="0"/>
        <w:spacing w:after="240" w:line="240" w:lineRule="auto"/>
        <w:jc w:val="both"/>
        <w:rPr>
          <w:rFonts w:ascii="Arial" w:eastAsia="Arial" w:hAnsi="Arial" w:cs="Arial"/>
          <w:snapToGrid w:val="0"/>
          <w:lang w:val="es-ES_tradnl"/>
        </w:rPr>
      </w:pPr>
      <w:bookmarkStart w:id="0" w:name="_gjdgxs" w:colFirst="0" w:colLast="0"/>
      <w:bookmarkStart w:id="1" w:name="_xcs51xxmizzy" w:colFirst="0" w:colLast="0"/>
      <w:bookmarkStart w:id="2" w:name="_xgf2prjzfqfr" w:colFirst="0" w:colLast="0"/>
      <w:bookmarkEnd w:id="0"/>
      <w:bookmarkEnd w:id="1"/>
      <w:bookmarkEnd w:id="2"/>
      <w:r w:rsidRPr="00631560">
        <w:rPr>
          <w:rFonts w:ascii="Arial" w:hAnsi="Arial" w:cs="Arial"/>
          <w:b/>
          <w:bCs/>
          <w:lang w:val="es-ES_tradnl"/>
        </w:rPr>
        <w:t>El Grupo examinó</w:t>
      </w:r>
      <w:r w:rsidRPr="00631560">
        <w:rPr>
          <w:rFonts w:ascii="Arial" w:hAnsi="Arial" w:cs="Arial"/>
          <w:lang w:val="es-ES_tradnl"/>
        </w:rPr>
        <w:t xml:space="preserve"> los informes de los grupos intergubernamentales de coordinación (ICG) de la COI, del Comité Científico del Programa de Tsunamis del Decenio del Océano (ODTP-SC), así como del Equipo de Trabajo sobre Gestión de Desastres y Preparación (TT-DMP) y del Equipo de Trabajo sobre Operaciones de Vigilancia de los Tsunamis (TT-TWO).</w:t>
      </w:r>
    </w:p>
    <w:p w14:paraId="6E75CD10" w14:textId="77777777" w:rsidR="001230A9" w:rsidRPr="00631560" w:rsidRDefault="001230A9" w:rsidP="001230A9">
      <w:pPr>
        <w:tabs>
          <w:tab w:val="left" w:pos="709"/>
        </w:tabs>
        <w:snapToGrid w:val="0"/>
        <w:spacing w:after="240" w:line="240" w:lineRule="auto"/>
        <w:jc w:val="both"/>
        <w:rPr>
          <w:rFonts w:ascii="Arial" w:eastAsia="Arial" w:hAnsi="Arial" w:cs="Arial"/>
          <w:snapToGrid w:val="0"/>
          <w:lang w:val="es-ES_tradnl"/>
        </w:rPr>
      </w:pPr>
      <w:r w:rsidRPr="00631560">
        <w:rPr>
          <w:rFonts w:ascii="Arial" w:hAnsi="Arial" w:cs="Arial"/>
          <w:b/>
          <w:bCs/>
          <w:lang w:val="es-ES_tradnl"/>
        </w:rPr>
        <w:t>El Grupo tomó nota con aprecio</w:t>
      </w:r>
      <w:r w:rsidRPr="00631560">
        <w:rPr>
          <w:rFonts w:ascii="Arial" w:hAnsi="Arial" w:cs="Arial"/>
          <w:lang w:val="es-ES_tradnl"/>
        </w:rPr>
        <w:t xml:space="preserve"> de los progresos realizados durante el periodo entre reuniones, en particular:</w:t>
      </w:r>
    </w:p>
    <w:p w14:paraId="062A2A47" w14:textId="77777777" w:rsidR="001230A9" w:rsidRPr="00631560" w:rsidRDefault="001230A9" w:rsidP="001230A9">
      <w:pPr>
        <w:numPr>
          <w:ilvl w:val="0"/>
          <w:numId w:val="25"/>
        </w:numPr>
        <w:snapToGrid w:val="0"/>
        <w:spacing w:after="240" w:line="240" w:lineRule="auto"/>
        <w:ind w:left="851" w:hanging="284"/>
        <w:jc w:val="both"/>
        <w:rPr>
          <w:rFonts w:ascii="Arial" w:eastAsia="SimSun" w:hAnsi="Arial" w:cs="Arial"/>
          <w:snapToGrid w:val="0"/>
          <w:lang w:val="es-ES_tradnl"/>
        </w:rPr>
      </w:pPr>
      <w:r w:rsidRPr="00631560">
        <w:rPr>
          <w:rFonts w:ascii="Arial" w:hAnsi="Arial" w:cs="Arial"/>
          <w:lang w:val="es-ES_tradnl"/>
        </w:rPr>
        <w:t>la coordinación de los ejercicios de preparación para los tsunamis PacWave 24 (de septiembre a noviembre de 2024), CARIBE WAVE 24 (21 de marzo de 2024), NEAMWave 23 (6-7 de noviembre de 2023) e IOWave23 (4-25 de octubre de 2023);</w:t>
      </w:r>
    </w:p>
    <w:p w14:paraId="1AA4A0FD" w14:textId="77777777" w:rsidR="001230A9" w:rsidRPr="00631560" w:rsidRDefault="001230A9" w:rsidP="001230A9">
      <w:pPr>
        <w:numPr>
          <w:ilvl w:val="0"/>
          <w:numId w:val="25"/>
        </w:numPr>
        <w:snapToGrid w:val="0"/>
        <w:spacing w:after="240" w:line="240" w:lineRule="auto"/>
        <w:ind w:left="851" w:hanging="284"/>
        <w:jc w:val="both"/>
        <w:rPr>
          <w:rFonts w:ascii="Arial" w:eastAsia="SimSun" w:hAnsi="Arial" w:cs="Arial"/>
          <w:snapToGrid w:val="0"/>
          <w:lang w:val="es-ES_tradnl"/>
        </w:rPr>
      </w:pPr>
      <w:r w:rsidRPr="00631560">
        <w:rPr>
          <w:rFonts w:ascii="Arial" w:hAnsi="Arial" w:cs="Arial"/>
          <w:lang w:val="es-ES_tradnl"/>
        </w:rPr>
        <w:t>la participación constante del TT-TWO en la elaboración de boletines especializados de proveedores de servicios sobre tsunamis destinados a la comunidad marítima, en consulta con el Subcomité sobre el Servicio Mundial de Radioavisos Náuticos (WWNWS-SC) de la Organización Hidrográfica Internacional (OHI);</w:t>
      </w:r>
    </w:p>
    <w:p w14:paraId="38C0D06B" w14:textId="49CE3E0E" w:rsidR="001230A9" w:rsidRPr="00631560" w:rsidRDefault="001230A9" w:rsidP="001230A9">
      <w:pPr>
        <w:numPr>
          <w:ilvl w:val="0"/>
          <w:numId w:val="25"/>
        </w:numPr>
        <w:snapToGrid w:val="0"/>
        <w:spacing w:after="240" w:line="240" w:lineRule="auto"/>
        <w:ind w:left="851" w:hanging="284"/>
        <w:jc w:val="both"/>
        <w:rPr>
          <w:rFonts w:ascii="Arial" w:eastAsia="SimSun" w:hAnsi="Arial" w:cs="Arial"/>
          <w:snapToGrid w:val="0"/>
          <w:lang w:val="es-ES_tradnl"/>
        </w:rPr>
      </w:pPr>
      <w:r w:rsidRPr="00631560">
        <w:rPr>
          <w:rFonts w:ascii="Arial" w:hAnsi="Arial" w:cs="Arial"/>
          <w:lang w:val="es-ES_tradnl"/>
        </w:rPr>
        <w:t xml:space="preserve">el proyecto en curso del cable submarino Atlantic CAM SMART (vigilancia científica y telecomunicaciones fiables) frente a Portugal, el cable TAM </w:t>
      </w:r>
      <w:proofErr w:type="spellStart"/>
      <w:r w:rsidRPr="00631560">
        <w:rPr>
          <w:rFonts w:ascii="Arial" w:hAnsi="Arial" w:cs="Arial"/>
          <w:lang w:val="es-ES_tradnl"/>
        </w:rPr>
        <w:t>TAM</w:t>
      </w:r>
      <w:proofErr w:type="spellEnd"/>
      <w:r w:rsidRPr="00631560">
        <w:rPr>
          <w:rFonts w:ascii="Arial" w:hAnsi="Arial" w:cs="Arial"/>
          <w:lang w:val="es-ES_tradnl"/>
        </w:rPr>
        <w:t xml:space="preserve"> SMART entre Nueva Caledonia y Vanuatu, las instalaciones de cableado submarino realizadas y previstas por Indonesia y la India, y la implantación en 2023 de la infraestructura del mar Jónico Occidental en el Mediterráneo;</w:t>
      </w:r>
    </w:p>
    <w:p w14:paraId="58086FC9" w14:textId="082F8AC3" w:rsidR="001230A9" w:rsidRPr="00631560" w:rsidRDefault="001230A9" w:rsidP="001230A9">
      <w:pPr>
        <w:numPr>
          <w:ilvl w:val="0"/>
          <w:numId w:val="25"/>
        </w:numPr>
        <w:snapToGrid w:val="0"/>
        <w:spacing w:after="240" w:line="240" w:lineRule="auto"/>
        <w:ind w:left="851" w:hanging="284"/>
        <w:jc w:val="both"/>
        <w:rPr>
          <w:rFonts w:ascii="Arial" w:eastAsia="SimSun" w:hAnsi="Arial" w:cs="Arial"/>
          <w:snapToGrid w:val="0"/>
          <w:lang w:val="es-ES_tradnl"/>
        </w:rPr>
      </w:pPr>
      <w:r w:rsidRPr="00631560">
        <w:rPr>
          <w:rFonts w:ascii="Arial" w:hAnsi="Arial" w:cs="Arial"/>
          <w:lang w:val="es-ES_tradnl"/>
        </w:rPr>
        <w:t>el número de Estados Miembros y comunidades que se han sumado al Programa de Reconocimiento Tsunami Ready de la COI/UNESCO: ya han obtenido el reconocimiento 100 comunidades de 31 países, de los cuales 15 son PEID;</w:t>
      </w:r>
    </w:p>
    <w:p w14:paraId="56B566D5" w14:textId="3E4B9364" w:rsidR="001230A9" w:rsidRPr="00631560" w:rsidRDefault="001230A9" w:rsidP="001230A9">
      <w:pPr>
        <w:numPr>
          <w:ilvl w:val="0"/>
          <w:numId w:val="25"/>
        </w:numPr>
        <w:snapToGrid w:val="0"/>
        <w:spacing w:after="240" w:line="240" w:lineRule="auto"/>
        <w:ind w:left="851" w:hanging="284"/>
        <w:jc w:val="both"/>
        <w:rPr>
          <w:rFonts w:ascii="Arial" w:eastAsia="SimSun" w:hAnsi="Arial" w:cs="Arial"/>
          <w:snapToGrid w:val="0"/>
          <w:lang w:val="es-ES_tradnl"/>
        </w:rPr>
      </w:pPr>
      <w:bookmarkStart w:id="3" w:name="_Hlk191327666"/>
      <w:r w:rsidRPr="00631560">
        <w:rPr>
          <w:rFonts w:ascii="Arial" w:hAnsi="Arial" w:cs="Arial"/>
          <w:lang w:val="es-ES_tradnl"/>
        </w:rPr>
        <w:t xml:space="preserve">la publicación de los informes titulados </w:t>
      </w:r>
      <w:r w:rsidR="006640B8">
        <w:rPr>
          <w:rFonts w:ascii="Arial" w:hAnsi="Arial" w:cs="Arial"/>
          <w:lang w:val="es-ES_tradnl"/>
        </w:rPr>
        <w:t>“</w:t>
      </w:r>
      <w:proofErr w:type="spellStart"/>
      <w:r w:rsidRPr="00631560">
        <w:rPr>
          <w:rFonts w:ascii="Arial" w:hAnsi="Arial" w:cs="Arial"/>
          <w:i/>
          <w:iCs/>
          <w:lang w:val="es-ES_tradnl"/>
        </w:rPr>
        <w:t>Monitoring</w:t>
      </w:r>
      <w:proofErr w:type="spellEnd"/>
      <w:r w:rsidRPr="00631560">
        <w:rPr>
          <w:rFonts w:ascii="Arial" w:hAnsi="Arial" w:cs="Arial"/>
          <w:i/>
          <w:iCs/>
          <w:lang w:val="es-ES_tradnl"/>
        </w:rPr>
        <w:t xml:space="preserve"> and Warning for Tsunamis </w:t>
      </w:r>
      <w:proofErr w:type="spellStart"/>
      <w:r w:rsidRPr="00631560">
        <w:rPr>
          <w:rFonts w:ascii="Arial" w:hAnsi="Arial" w:cs="Arial"/>
          <w:i/>
          <w:iCs/>
          <w:lang w:val="es-ES_tradnl"/>
        </w:rPr>
        <w:t>Generated</w:t>
      </w:r>
      <w:proofErr w:type="spellEnd"/>
      <w:r w:rsidRPr="00631560">
        <w:rPr>
          <w:rFonts w:ascii="Arial" w:hAnsi="Arial" w:cs="Arial"/>
          <w:i/>
          <w:iCs/>
          <w:lang w:val="es-ES_tradnl"/>
        </w:rPr>
        <w:t xml:space="preserve"> </w:t>
      </w:r>
      <w:proofErr w:type="spellStart"/>
      <w:r w:rsidRPr="00631560">
        <w:rPr>
          <w:rFonts w:ascii="Arial" w:hAnsi="Arial" w:cs="Arial"/>
          <w:i/>
          <w:iCs/>
          <w:lang w:val="es-ES_tradnl"/>
        </w:rPr>
        <w:t>by</w:t>
      </w:r>
      <w:proofErr w:type="spellEnd"/>
      <w:r w:rsidRPr="00631560">
        <w:rPr>
          <w:rFonts w:ascii="Arial" w:hAnsi="Arial" w:cs="Arial"/>
          <w:i/>
          <w:iCs/>
          <w:lang w:val="es-ES_tradnl"/>
        </w:rPr>
        <w:t xml:space="preserve"> </w:t>
      </w:r>
      <w:proofErr w:type="spellStart"/>
      <w:r w:rsidRPr="00631560">
        <w:rPr>
          <w:rFonts w:ascii="Arial" w:hAnsi="Arial" w:cs="Arial"/>
          <w:i/>
          <w:iCs/>
          <w:lang w:val="es-ES_tradnl"/>
        </w:rPr>
        <w:t>Volcanoes</w:t>
      </w:r>
      <w:proofErr w:type="spellEnd"/>
      <w:r w:rsidR="006640B8">
        <w:rPr>
          <w:rFonts w:ascii="Arial" w:hAnsi="Arial" w:cs="Arial"/>
          <w:lang w:val="es-ES_tradnl"/>
        </w:rPr>
        <w:t>”</w:t>
      </w:r>
      <w:r w:rsidRPr="00631560">
        <w:rPr>
          <w:rFonts w:ascii="Arial" w:hAnsi="Arial" w:cs="Arial"/>
          <w:lang w:val="es-ES_tradnl"/>
        </w:rPr>
        <w:t xml:space="preserve"> 2024. París, UNESCO (</w:t>
      </w:r>
      <w:hyperlink r:id="rId8" w:history="1">
        <w:r w:rsidRPr="00631560">
          <w:rPr>
            <w:rStyle w:val="Hyperlink"/>
            <w:rFonts w:ascii="Arial" w:hAnsi="Arial" w:cs="Arial"/>
            <w:lang w:val="es-ES_tradnl"/>
          </w:rPr>
          <w:t xml:space="preserve">Colección técnica de la COI </w:t>
        </w:r>
        <w:proofErr w:type="spellStart"/>
        <w:r w:rsidRPr="00631560">
          <w:rPr>
            <w:rStyle w:val="Hyperlink"/>
            <w:rFonts w:ascii="Arial" w:hAnsi="Arial" w:cs="Arial"/>
            <w:lang w:val="es-ES_tradnl"/>
          </w:rPr>
          <w:t>nº</w:t>
        </w:r>
        <w:proofErr w:type="spellEnd"/>
        <w:r w:rsidRPr="00631560">
          <w:rPr>
            <w:rStyle w:val="Hyperlink"/>
            <w:rFonts w:ascii="Arial" w:hAnsi="Arial" w:cs="Arial"/>
            <w:lang w:val="es-ES_tradnl"/>
          </w:rPr>
          <w:t xml:space="preserve"> 183</w:t>
        </w:r>
      </w:hyperlink>
      <w:r w:rsidRPr="00631560">
        <w:rPr>
          <w:rFonts w:ascii="Arial" w:hAnsi="Arial" w:cs="Arial"/>
          <w:lang w:val="es-ES_tradnl"/>
        </w:rPr>
        <w:t xml:space="preserve">), y </w:t>
      </w:r>
      <w:r w:rsidR="006640B8">
        <w:rPr>
          <w:rFonts w:ascii="Arial" w:hAnsi="Arial" w:cs="Arial"/>
          <w:lang w:val="es-ES_tradnl"/>
        </w:rPr>
        <w:t>“</w:t>
      </w:r>
      <w:proofErr w:type="spellStart"/>
      <w:r w:rsidRPr="00631560">
        <w:rPr>
          <w:rFonts w:ascii="Arial" w:hAnsi="Arial" w:cs="Arial"/>
          <w:i/>
          <w:iCs/>
          <w:lang w:val="es-ES_tradnl"/>
        </w:rPr>
        <w:t>Meteotsunamis</w:t>
      </w:r>
      <w:proofErr w:type="spellEnd"/>
      <w:r w:rsidRPr="00631560">
        <w:rPr>
          <w:rFonts w:ascii="Arial" w:hAnsi="Arial" w:cs="Arial"/>
          <w:i/>
          <w:iCs/>
          <w:lang w:val="es-ES_tradnl"/>
        </w:rPr>
        <w:t xml:space="preserve">: </w:t>
      </w:r>
      <w:proofErr w:type="spellStart"/>
      <w:r w:rsidRPr="00631560">
        <w:rPr>
          <w:rFonts w:ascii="Arial" w:hAnsi="Arial" w:cs="Arial"/>
          <w:i/>
          <w:iCs/>
          <w:lang w:val="es-ES_tradnl"/>
        </w:rPr>
        <w:t>definition</w:t>
      </w:r>
      <w:proofErr w:type="spellEnd"/>
      <w:r w:rsidRPr="00631560">
        <w:rPr>
          <w:rFonts w:ascii="Arial" w:hAnsi="Arial" w:cs="Arial"/>
          <w:i/>
          <w:iCs/>
          <w:lang w:val="es-ES_tradnl"/>
        </w:rPr>
        <w:t xml:space="preserve">, </w:t>
      </w:r>
      <w:proofErr w:type="spellStart"/>
      <w:r w:rsidRPr="00631560">
        <w:rPr>
          <w:rFonts w:ascii="Arial" w:hAnsi="Arial" w:cs="Arial"/>
          <w:i/>
          <w:iCs/>
          <w:lang w:val="es-ES_tradnl"/>
        </w:rPr>
        <w:t>detection</w:t>
      </w:r>
      <w:proofErr w:type="spellEnd"/>
      <w:r w:rsidRPr="00631560">
        <w:rPr>
          <w:rFonts w:ascii="Arial" w:hAnsi="Arial" w:cs="Arial"/>
          <w:i/>
          <w:iCs/>
          <w:lang w:val="es-ES_tradnl"/>
        </w:rPr>
        <w:t xml:space="preserve"> and </w:t>
      </w:r>
      <w:proofErr w:type="spellStart"/>
      <w:r w:rsidRPr="00631560">
        <w:rPr>
          <w:rFonts w:ascii="Arial" w:hAnsi="Arial" w:cs="Arial"/>
          <w:i/>
          <w:iCs/>
          <w:lang w:val="es-ES_tradnl"/>
        </w:rPr>
        <w:t>alerting</w:t>
      </w:r>
      <w:proofErr w:type="spellEnd"/>
      <w:r w:rsidRPr="00631560">
        <w:rPr>
          <w:rFonts w:ascii="Arial" w:hAnsi="Arial" w:cs="Arial"/>
          <w:i/>
          <w:iCs/>
          <w:lang w:val="es-ES_tradnl"/>
        </w:rPr>
        <w:t xml:space="preserve"> </w:t>
      </w:r>
      <w:proofErr w:type="spellStart"/>
      <w:r w:rsidRPr="00631560">
        <w:rPr>
          <w:rFonts w:ascii="Arial" w:hAnsi="Arial" w:cs="Arial"/>
          <w:i/>
          <w:iCs/>
          <w:lang w:val="es-ES_tradnl"/>
        </w:rPr>
        <w:t>services</w:t>
      </w:r>
      <w:proofErr w:type="spellEnd"/>
      <w:r w:rsidRPr="00631560">
        <w:rPr>
          <w:rFonts w:ascii="Arial" w:hAnsi="Arial" w:cs="Arial"/>
          <w:i/>
          <w:iCs/>
          <w:lang w:val="es-ES_tradnl"/>
        </w:rPr>
        <w:t xml:space="preserve"> </w:t>
      </w:r>
      <w:proofErr w:type="spellStart"/>
      <w:r w:rsidRPr="00631560">
        <w:rPr>
          <w:rFonts w:ascii="Arial" w:hAnsi="Arial" w:cs="Arial"/>
          <w:i/>
          <w:iCs/>
          <w:lang w:val="es-ES_tradnl"/>
        </w:rPr>
        <w:t>investigation</w:t>
      </w:r>
      <w:proofErr w:type="spellEnd"/>
      <w:r w:rsidR="006640B8">
        <w:rPr>
          <w:rFonts w:ascii="Arial" w:hAnsi="Arial" w:cs="Arial"/>
          <w:lang w:val="es-ES_tradnl"/>
        </w:rPr>
        <w:t>”</w:t>
      </w:r>
      <w:r w:rsidRPr="00631560">
        <w:rPr>
          <w:rFonts w:ascii="Arial" w:hAnsi="Arial" w:cs="Arial"/>
          <w:lang w:val="es-ES_tradnl"/>
        </w:rPr>
        <w:t xml:space="preserve"> 2025. París, UNESCO (</w:t>
      </w:r>
      <w:hyperlink r:id="rId9" w:history="1">
        <w:r w:rsidRPr="00631560">
          <w:rPr>
            <w:rStyle w:val="Hyperlink"/>
            <w:rFonts w:ascii="Arial" w:hAnsi="Arial" w:cs="Arial"/>
            <w:lang w:val="es-ES_tradnl"/>
          </w:rPr>
          <w:t>Colección técnica de la COI nº 200</w:t>
        </w:r>
      </w:hyperlink>
      <w:r w:rsidRPr="00631560">
        <w:rPr>
          <w:rFonts w:ascii="Arial" w:hAnsi="Arial" w:cs="Arial"/>
          <w:lang w:val="es-ES_tradnl"/>
        </w:rPr>
        <w:t xml:space="preserve">), así como de la declaración resumida del Segundo Simposio Mundial de la COI sobre los Tsunamis sobre el tema </w:t>
      </w:r>
      <w:r w:rsidR="006640B8">
        <w:rPr>
          <w:rFonts w:ascii="Arial" w:hAnsi="Arial" w:cs="Arial"/>
          <w:lang w:val="es-ES_tradnl"/>
        </w:rPr>
        <w:t>“</w:t>
      </w:r>
      <w:r w:rsidRPr="00631560">
        <w:rPr>
          <w:rFonts w:ascii="Arial" w:hAnsi="Arial" w:cs="Arial"/>
          <w:lang w:val="es-ES_tradnl"/>
        </w:rPr>
        <w:t>Dos décadas después del tsunami del océano Índico de 2004: reflexión y perspectivas</w:t>
      </w:r>
      <w:r w:rsidR="006640B8">
        <w:rPr>
          <w:rFonts w:ascii="Arial" w:hAnsi="Arial" w:cs="Arial"/>
          <w:lang w:val="es-ES_tradnl"/>
        </w:rPr>
        <w:t>”</w:t>
      </w:r>
      <w:r w:rsidRPr="00631560">
        <w:rPr>
          <w:rFonts w:ascii="Arial" w:hAnsi="Arial" w:cs="Arial"/>
          <w:lang w:val="es-ES_tradnl"/>
        </w:rPr>
        <w:t>, Banda Aceh, 11-14 de noviembre de 2024. París. UNESCO (</w:t>
      </w:r>
      <w:hyperlink r:id="rId10" w:history="1">
        <w:r w:rsidRPr="00631560">
          <w:rPr>
            <w:rStyle w:val="Hyperlink"/>
            <w:rFonts w:ascii="Arial" w:hAnsi="Arial" w:cs="Arial"/>
            <w:lang w:val="es-ES_tradnl"/>
          </w:rPr>
          <w:t>Folleto de la COI 2025-1</w:t>
        </w:r>
      </w:hyperlink>
      <w:r w:rsidRPr="00631560">
        <w:rPr>
          <w:rFonts w:ascii="Arial" w:hAnsi="Arial" w:cs="Arial"/>
          <w:lang w:val="es-ES_tradnl"/>
        </w:rPr>
        <w:t>);</w:t>
      </w:r>
    </w:p>
    <w:bookmarkEnd w:id="3"/>
    <w:p w14:paraId="0836DA0A" w14:textId="77777777" w:rsidR="001230A9" w:rsidRPr="00631560" w:rsidRDefault="001230A9" w:rsidP="001230A9">
      <w:pPr>
        <w:numPr>
          <w:ilvl w:val="0"/>
          <w:numId w:val="25"/>
        </w:numPr>
        <w:snapToGrid w:val="0"/>
        <w:spacing w:after="240" w:line="240" w:lineRule="auto"/>
        <w:ind w:left="851" w:hanging="284"/>
        <w:jc w:val="both"/>
        <w:rPr>
          <w:rFonts w:ascii="Arial" w:eastAsia="SimSun" w:hAnsi="Arial" w:cs="Arial"/>
          <w:bCs/>
          <w:snapToGrid w:val="0"/>
          <w:lang w:val="es-ES_tradnl"/>
        </w:rPr>
      </w:pPr>
      <w:r w:rsidRPr="00631560">
        <w:rPr>
          <w:rFonts w:ascii="Arial" w:hAnsi="Arial" w:cs="Arial"/>
          <w:lang w:val="es-ES_tradnl"/>
        </w:rPr>
        <w:t xml:space="preserve">la puesta en marcha de las formaciones en línea de la COI sobre sensibilización y preparación para los tsunamis mediante la plataforma de la </w:t>
      </w:r>
      <w:hyperlink r:id="rId11" w:history="1">
        <w:r w:rsidRPr="00631560">
          <w:rPr>
            <w:rStyle w:val="Hyperlink"/>
            <w:rFonts w:ascii="Arial" w:hAnsi="Arial" w:cs="Arial"/>
            <w:lang w:val="es-ES_tradnl"/>
          </w:rPr>
          <w:t xml:space="preserve">Academia Mundial </w:t>
        </w:r>
        <w:proofErr w:type="spellStart"/>
        <w:r w:rsidRPr="00631560">
          <w:rPr>
            <w:rStyle w:val="Hyperlink"/>
            <w:rFonts w:ascii="Arial" w:hAnsi="Arial" w:cs="Arial"/>
            <w:lang w:val="es-ES_tradnl"/>
          </w:rPr>
          <w:t>OceanTeacher</w:t>
        </w:r>
        <w:proofErr w:type="spellEnd"/>
      </w:hyperlink>
      <w:r w:rsidRPr="00631560">
        <w:rPr>
          <w:rFonts w:ascii="Arial" w:hAnsi="Arial" w:cs="Arial"/>
          <w:lang w:val="es-ES_tradnl"/>
        </w:rPr>
        <w:t>;</w:t>
      </w:r>
    </w:p>
    <w:p w14:paraId="3B57713F" w14:textId="2F43D795" w:rsidR="001230A9" w:rsidRPr="00631560" w:rsidRDefault="001230A9" w:rsidP="001230A9">
      <w:pPr>
        <w:numPr>
          <w:ilvl w:val="0"/>
          <w:numId w:val="25"/>
        </w:numPr>
        <w:snapToGrid w:val="0"/>
        <w:spacing w:after="240" w:line="240" w:lineRule="auto"/>
        <w:ind w:left="851" w:hanging="284"/>
        <w:jc w:val="both"/>
        <w:rPr>
          <w:rFonts w:ascii="Arial" w:eastAsia="SimSun" w:hAnsi="Arial" w:cs="Arial"/>
          <w:bCs/>
          <w:snapToGrid w:val="0"/>
          <w:lang w:val="es-ES_tradnl"/>
        </w:rPr>
      </w:pPr>
      <w:r w:rsidRPr="00631560">
        <w:rPr>
          <w:rFonts w:ascii="Arial" w:hAnsi="Arial" w:cs="Arial"/>
          <w:lang w:val="es-ES_tradnl"/>
        </w:rPr>
        <w:t xml:space="preserve">la exposición </w:t>
      </w:r>
      <w:r w:rsidR="006640B8">
        <w:rPr>
          <w:rFonts w:ascii="Arial" w:hAnsi="Arial" w:cs="Arial"/>
          <w:lang w:val="es-ES_tradnl"/>
        </w:rPr>
        <w:t>“</w:t>
      </w:r>
      <w:hyperlink r:id="rId12" w:history="1">
        <w:r w:rsidRPr="00631560">
          <w:rPr>
            <w:rFonts w:ascii="Arial" w:eastAsia="SimSun" w:hAnsi="Arial" w:cs="Arial"/>
            <w:bCs/>
            <w:snapToGrid w:val="0"/>
            <w:color w:val="0000FF"/>
            <w:u w:val="single"/>
            <w:lang w:val="es-ES_tradnl"/>
          </w:rPr>
          <w:t xml:space="preserve">Tsunami: Sea Change for </w:t>
        </w:r>
        <w:proofErr w:type="spellStart"/>
        <w:r w:rsidRPr="00631560">
          <w:rPr>
            <w:rFonts w:ascii="Arial" w:eastAsia="SimSun" w:hAnsi="Arial" w:cs="Arial"/>
            <w:bCs/>
            <w:snapToGrid w:val="0"/>
            <w:color w:val="0000FF"/>
            <w:u w:val="single"/>
            <w:lang w:val="es-ES_tradnl"/>
          </w:rPr>
          <w:t>Resilience</w:t>
        </w:r>
        <w:proofErr w:type="spellEnd"/>
      </w:hyperlink>
      <w:r w:rsidR="006640B8">
        <w:rPr>
          <w:rFonts w:ascii="Arial" w:hAnsi="Arial" w:cs="Arial"/>
          <w:lang w:val="es-ES_tradnl"/>
        </w:rPr>
        <w:t>“</w:t>
      </w:r>
      <w:r w:rsidRPr="00631560">
        <w:rPr>
          <w:rFonts w:ascii="Arial" w:hAnsi="Arial" w:cs="Arial"/>
          <w:lang w:val="es-ES_tradnl"/>
        </w:rPr>
        <w:t xml:space="preserve">, preparada en colaboración con la Oficina de las Naciones Unidas para la Reducción del Riesgo de Desastres (UNDRR) y Nautilus, en la que se presentan retratos de Matt Porteous e historias inspiradoras, junto con obras de arte históricas y contemporáneas que conmemoran el 20º aniversario del tsunami del océano Índico de 2004; la organización del </w:t>
      </w:r>
      <w:hyperlink r:id="rId13" w:history="1">
        <w:r w:rsidRPr="00631560">
          <w:rPr>
            <w:rStyle w:val="Hyperlink"/>
            <w:rFonts w:ascii="Arial" w:hAnsi="Arial" w:cs="Arial"/>
            <w:lang w:val="es-ES_tradnl"/>
          </w:rPr>
          <w:t>acto de conmemoración del 20º aniversario del tsunami del océano Índico de 2004</w:t>
        </w:r>
      </w:hyperlink>
      <w:r w:rsidRPr="00631560">
        <w:rPr>
          <w:rFonts w:ascii="Arial" w:hAnsi="Arial" w:cs="Arial"/>
          <w:lang w:val="es-ES_tradnl"/>
        </w:rPr>
        <w:t xml:space="preserve"> en la Sede </w:t>
      </w:r>
      <w:r w:rsidRPr="00631560">
        <w:rPr>
          <w:rFonts w:ascii="Arial" w:hAnsi="Arial" w:cs="Arial"/>
          <w:lang w:val="es-ES_tradnl"/>
        </w:rPr>
        <w:lastRenderedPageBreak/>
        <w:t>de la UNESCO, el 26 de noviembre de 2024, para reflexionar sobre la resiliencia, rendir homenaje a los afectados y reafirmar nuestro compromiso en favor de la preparación para casos de desastre.</w:t>
      </w:r>
    </w:p>
    <w:p w14:paraId="1936C836" w14:textId="77777777" w:rsidR="001230A9" w:rsidRPr="00631560" w:rsidRDefault="001230A9" w:rsidP="001230A9">
      <w:pPr>
        <w:tabs>
          <w:tab w:val="left" w:pos="709"/>
        </w:tabs>
        <w:snapToGrid w:val="0"/>
        <w:spacing w:after="240" w:line="240" w:lineRule="auto"/>
        <w:jc w:val="both"/>
        <w:rPr>
          <w:rFonts w:ascii="Arial" w:eastAsia="SimSun" w:hAnsi="Arial" w:cs="Arial"/>
          <w:bCs/>
          <w:snapToGrid w:val="0"/>
          <w:lang w:val="es-ES_tradnl"/>
        </w:rPr>
      </w:pPr>
      <w:r w:rsidRPr="00631560">
        <w:rPr>
          <w:rFonts w:ascii="Arial" w:hAnsi="Arial" w:cs="Arial"/>
          <w:b/>
          <w:bCs/>
          <w:lang w:val="es-ES_tradnl"/>
        </w:rPr>
        <w:t>El Grupo aceptó</w:t>
      </w:r>
      <w:r w:rsidRPr="00631560">
        <w:rPr>
          <w:rFonts w:ascii="Arial" w:hAnsi="Arial" w:cs="Arial"/>
          <w:lang w:val="es-ES_tradnl"/>
        </w:rPr>
        <w:t xml:space="preserve"> la invitación de la UNDRR para definir conjuntamente el tema del Día Mundial de Concienciación sobre los Tsunamis 2025, vinculando el Programa de Reconocimiento Tsunami Ready, el programa Desarrollando Ciudades Resilientes y los hashtags </w:t>
      </w:r>
      <w:hyperlink r:id="rId14" w:history="1">
        <w:r w:rsidRPr="00631560">
          <w:rPr>
            <w:rFonts w:ascii="Arial" w:eastAsia="SimSun" w:hAnsi="Arial" w:cs="Arial"/>
            <w:bCs/>
            <w:snapToGrid w:val="0"/>
            <w:color w:val="0000FF"/>
            <w:u w:val="single"/>
            <w:lang w:val="es-ES_tradnl"/>
          </w:rPr>
          <w:t>#GetToHighGround</w:t>
        </w:r>
      </w:hyperlink>
      <w:r w:rsidRPr="00631560">
        <w:rPr>
          <w:rFonts w:ascii="Arial" w:hAnsi="Arial" w:cs="Arial"/>
          <w:lang w:val="es-ES_tradnl"/>
        </w:rPr>
        <w:t xml:space="preserve"> y </w:t>
      </w:r>
      <w:r w:rsidRPr="00631560">
        <w:rPr>
          <w:rFonts w:ascii="Arial" w:eastAsia="SimSun" w:hAnsi="Arial" w:cs="Arial"/>
          <w:bCs/>
          <w:snapToGrid w:val="0"/>
          <w:color w:val="0000FF"/>
          <w:lang w:val="es-ES_tradnl"/>
        </w:rPr>
        <w:t>#TsunamiReady</w:t>
      </w:r>
      <w:r w:rsidRPr="00631560">
        <w:rPr>
          <w:rFonts w:ascii="Arial" w:hAnsi="Arial" w:cs="Arial"/>
          <w:lang w:val="es-ES_tradnl"/>
        </w:rPr>
        <w:t xml:space="preserve"> para hacer participar a los ciudadanos en la sensibilización a los tsunamis.</w:t>
      </w:r>
    </w:p>
    <w:p w14:paraId="65AB7351" w14:textId="77777777" w:rsidR="001230A9" w:rsidRPr="00631560" w:rsidRDefault="001230A9" w:rsidP="001230A9">
      <w:pPr>
        <w:tabs>
          <w:tab w:val="left" w:pos="709"/>
        </w:tabs>
        <w:snapToGrid w:val="0"/>
        <w:spacing w:after="240" w:line="240" w:lineRule="auto"/>
        <w:jc w:val="both"/>
        <w:rPr>
          <w:rFonts w:ascii="Arial" w:eastAsia="Arial" w:hAnsi="Arial" w:cs="Arial"/>
          <w:snapToGrid w:val="0"/>
          <w:lang w:val="es-ES_tradnl"/>
        </w:rPr>
      </w:pPr>
      <w:r w:rsidRPr="00631560">
        <w:rPr>
          <w:rFonts w:ascii="Arial" w:hAnsi="Arial" w:cs="Arial"/>
          <w:b/>
          <w:bCs/>
          <w:lang w:val="es-ES_tradnl"/>
        </w:rPr>
        <w:t>El Grupo agradeció</w:t>
      </w:r>
      <w:r w:rsidRPr="00631560">
        <w:rPr>
          <w:rFonts w:ascii="Arial" w:hAnsi="Arial" w:cs="Arial"/>
          <w:lang w:val="es-ES_tradnl"/>
        </w:rPr>
        <w:t xml:space="preserve"> la elaboración de procedimientos operativos estándar inclusivos y herramientas de alerta inclusivas para niños con discapacidad en Indonesia y el Caribe, </w:t>
      </w:r>
      <w:r w:rsidRPr="00631560">
        <w:rPr>
          <w:rFonts w:ascii="Arial" w:hAnsi="Arial" w:cs="Arial"/>
          <w:b/>
          <w:bCs/>
          <w:lang w:val="es-ES_tradnl"/>
        </w:rPr>
        <w:t>recomendó</w:t>
      </w:r>
      <w:r w:rsidRPr="00631560">
        <w:rPr>
          <w:rFonts w:ascii="Arial" w:hAnsi="Arial" w:cs="Arial"/>
          <w:lang w:val="es-ES_tradnl"/>
        </w:rPr>
        <w:t xml:space="preserve"> que los procedimientos operativos estándar inclusivos de Indonesia se tradujeran al inglés y </w:t>
      </w:r>
      <w:r w:rsidRPr="00631560">
        <w:rPr>
          <w:rFonts w:ascii="Arial" w:hAnsi="Arial" w:cs="Arial"/>
          <w:b/>
          <w:bCs/>
          <w:lang w:val="es-ES_tradnl"/>
        </w:rPr>
        <w:t>alentó</w:t>
      </w:r>
      <w:r w:rsidRPr="00631560">
        <w:rPr>
          <w:rFonts w:ascii="Arial" w:hAnsi="Arial" w:cs="Arial"/>
          <w:lang w:val="es-ES_tradnl"/>
        </w:rPr>
        <w:t xml:space="preserve"> a que se siguieran elaborando procedimientos operativos estándar inclusivos a modo de directrices oficiales de la COI.</w:t>
      </w:r>
    </w:p>
    <w:p w14:paraId="7D73D100" w14:textId="71113E44" w:rsidR="001230A9" w:rsidRPr="00631560" w:rsidRDefault="001230A9" w:rsidP="001230A9">
      <w:pPr>
        <w:snapToGrid w:val="0"/>
        <w:spacing w:after="240" w:line="240" w:lineRule="auto"/>
        <w:jc w:val="both"/>
        <w:rPr>
          <w:rFonts w:ascii="Arial" w:eastAsia="DengXian" w:hAnsi="Arial" w:cs="Arial"/>
          <w:lang w:val="es-ES_tradnl"/>
        </w:rPr>
      </w:pPr>
      <w:r w:rsidRPr="00631560">
        <w:rPr>
          <w:rFonts w:ascii="Arial" w:hAnsi="Arial" w:cs="Arial"/>
          <w:b/>
          <w:bCs/>
          <w:lang w:val="es-ES_tradnl"/>
        </w:rPr>
        <w:t>El Grupo tomó nota</w:t>
      </w:r>
      <w:r w:rsidRPr="00631560">
        <w:rPr>
          <w:rFonts w:ascii="Arial" w:hAnsi="Arial" w:cs="Arial"/>
          <w:lang w:val="es-ES_tradnl"/>
        </w:rPr>
        <w:t xml:space="preserve"> de las revisiones del documento titulado </w:t>
      </w:r>
      <w:r w:rsidR="006640B8">
        <w:rPr>
          <w:rFonts w:ascii="Arial" w:hAnsi="Arial" w:cs="Arial"/>
          <w:lang w:val="es-ES_tradnl"/>
        </w:rPr>
        <w:t>“</w:t>
      </w:r>
      <w:r w:rsidRPr="00631560">
        <w:rPr>
          <w:rFonts w:ascii="Arial" w:hAnsi="Arial" w:cs="Arial"/>
          <w:i/>
          <w:iCs/>
          <w:lang w:val="es-ES_tradnl"/>
        </w:rPr>
        <w:t xml:space="preserve">Tsunami </w:t>
      </w:r>
      <w:proofErr w:type="spellStart"/>
      <w:r w:rsidRPr="00631560">
        <w:rPr>
          <w:rFonts w:ascii="Arial" w:hAnsi="Arial" w:cs="Arial"/>
          <w:i/>
          <w:iCs/>
          <w:lang w:val="es-ES_tradnl"/>
        </w:rPr>
        <w:t>Watch</w:t>
      </w:r>
      <w:proofErr w:type="spellEnd"/>
      <w:r w:rsidRPr="00631560">
        <w:rPr>
          <w:rFonts w:ascii="Arial" w:hAnsi="Arial" w:cs="Arial"/>
          <w:i/>
          <w:iCs/>
          <w:lang w:val="es-ES_tradnl"/>
        </w:rPr>
        <w:t xml:space="preserve"> </w:t>
      </w:r>
      <w:proofErr w:type="spellStart"/>
      <w:r w:rsidRPr="00631560">
        <w:rPr>
          <w:rFonts w:ascii="Arial" w:hAnsi="Arial" w:cs="Arial"/>
          <w:i/>
          <w:iCs/>
          <w:lang w:val="es-ES_tradnl"/>
        </w:rPr>
        <w:t>Operations</w:t>
      </w:r>
      <w:proofErr w:type="spellEnd"/>
      <w:r w:rsidRPr="00631560">
        <w:rPr>
          <w:rFonts w:ascii="Arial" w:hAnsi="Arial" w:cs="Arial"/>
          <w:i/>
          <w:iCs/>
          <w:lang w:val="es-ES_tradnl"/>
        </w:rPr>
        <w:t xml:space="preserve">: Global Service </w:t>
      </w:r>
      <w:proofErr w:type="spellStart"/>
      <w:r w:rsidRPr="00631560">
        <w:rPr>
          <w:rFonts w:ascii="Arial" w:hAnsi="Arial" w:cs="Arial"/>
          <w:i/>
          <w:iCs/>
          <w:lang w:val="es-ES_tradnl"/>
        </w:rPr>
        <w:t>Definition</w:t>
      </w:r>
      <w:proofErr w:type="spellEnd"/>
      <w:r w:rsidRPr="00631560">
        <w:rPr>
          <w:rFonts w:ascii="Arial" w:hAnsi="Arial" w:cs="Arial"/>
          <w:i/>
          <w:iCs/>
          <w:lang w:val="es-ES_tradnl"/>
        </w:rPr>
        <w:t xml:space="preserve"> </w:t>
      </w:r>
      <w:proofErr w:type="spellStart"/>
      <w:r w:rsidRPr="00631560">
        <w:rPr>
          <w:rFonts w:ascii="Arial" w:hAnsi="Arial" w:cs="Arial"/>
          <w:i/>
          <w:iCs/>
          <w:lang w:val="es-ES_tradnl"/>
        </w:rPr>
        <w:t>Document</w:t>
      </w:r>
      <w:proofErr w:type="spellEnd"/>
      <w:r w:rsidR="006640B8">
        <w:rPr>
          <w:rFonts w:ascii="Arial" w:hAnsi="Arial" w:cs="Arial"/>
          <w:lang w:val="es-ES_tradnl"/>
        </w:rPr>
        <w:t>”</w:t>
      </w:r>
      <w:r w:rsidRPr="00631560">
        <w:rPr>
          <w:rFonts w:ascii="Arial" w:hAnsi="Arial" w:cs="Arial"/>
          <w:lang w:val="es-ES_tradnl"/>
        </w:rPr>
        <w:t xml:space="preserve">, </w:t>
      </w:r>
      <w:hyperlink r:id="rId15" w:history="1">
        <w:r w:rsidRPr="00631560">
          <w:rPr>
            <w:rStyle w:val="Hyperlink"/>
            <w:rFonts w:ascii="Arial" w:hAnsi="Arial" w:cs="Arial"/>
            <w:lang w:val="es-ES_tradnl"/>
          </w:rPr>
          <w:t>Colección técnica de la COI nº 130</w:t>
        </w:r>
      </w:hyperlink>
      <w:r w:rsidRPr="00631560">
        <w:rPr>
          <w:rFonts w:ascii="Arial" w:hAnsi="Arial" w:cs="Arial"/>
          <w:lang w:val="es-ES_tradnl"/>
        </w:rPr>
        <w:t>. París: UNESCO (en inglés), y aprobó la publicación de una versión revisada de la Colección técnica de la COI nº 130, con las actualizaciones sugeridas por el TT-TWO.</w:t>
      </w:r>
    </w:p>
    <w:p w14:paraId="5F25E063" w14:textId="4A9E9BA2" w:rsidR="001230A9" w:rsidRPr="00631560" w:rsidRDefault="001230A9" w:rsidP="001230A9">
      <w:pPr>
        <w:tabs>
          <w:tab w:val="left" w:pos="709"/>
        </w:tabs>
        <w:snapToGrid w:val="0"/>
        <w:spacing w:after="240" w:line="240" w:lineRule="auto"/>
        <w:jc w:val="both"/>
        <w:rPr>
          <w:rFonts w:ascii="Arial" w:eastAsia="SimSun" w:hAnsi="Arial" w:cs="Arial"/>
          <w:snapToGrid w:val="0"/>
          <w:lang w:val="es-ES_tradnl"/>
        </w:rPr>
      </w:pPr>
      <w:r w:rsidRPr="00631560">
        <w:rPr>
          <w:rFonts w:ascii="Arial" w:hAnsi="Arial" w:cs="Arial"/>
          <w:b/>
          <w:bCs/>
          <w:lang w:val="es-ES_tradnl"/>
        </w:rPr>
        <w:t>El Grupo expresó su profundo reconocimiento</w:t>
      </w:r>
      <w:r w:rsidRPr="00631560">
        <w:rPr>
          <w:rFonts w:ascii="Arial" w:hAnsi="Arial" w:cs="Arial"/>
          <w:lang w:val="es-ES_tradnl"/>
        </w:rPr>
        <w:t xml:space="preserve"> al Gobierno de Indonesia por haber copatrocinado y organizado con éxito el Segundo Simposio Mundial de la COI sobre los Tsunamis sobre el tema </w:t>
      </w:r>
      <w:r w:rsidR="006640B8">
        <w:rPr>
          <w:rFonts w:ascii="Arial" w:hAnsi="Arial" w:cs="Arial"/>
          <w:lang w:val="es-ES_tradnl"/>
        </w:rPr>
        <w:t>“</w:t>
      </w:r>
      <w:r w:rsidRPr="00631560">
        <w:rPr>
          <w:rFonts w:ascii="Arial" w:hAnsi="Arial" w:cs="Arial"/>
          <w:lang w:val="es-ES_tradnl"/>
        </w:rPr>
        <w:t>Dos décadas después del tsunami del océano Índico de 2004: reflexión y perspectivas</w:t>
      </w:r>
      <w:r w:rsidR="006640B8">
        <w:rPr>
          <w:rFonts w:ascii="Arial" w:hAnsi="Arial" w:cs="Arial"/>
          <w:lang w:val="es-ES_tradnl"/>
        </w:rPr>
        <w:t>”</w:t>
      </w:r>
      <w:r w:rsidRPr="00631560">
        <w:rPr>
          <w:rFonts w:ascii="Arial" w:hAnsi="Arial" w:cs="Arial"/>
          <w:lang w:val="es-ES_tradnl"/>
        </w:rPr>
        <w:t>, Banda Aceh, 11-14 de noviembre de 2024.</w:t>
      </w:r>
    </w:p>
    <w:p w14:paraId="4B1E2BAD" w14:textId="394F41CC" w:rsidR="001230A9" w:rsidRPr="00631560" w:rsidRDefault="001230A9" w:rsidP="001230A9">
      <w:pPr>
        <w:tabs>
          <w:tab w:val="left" w:pos="709"/>
        </w:tabs>
        <w:snapToGrid w:val="0"/>
        <w:spacing w:after="240" w:line="240" w:lineRule="auto"/>
        <w:jc w:val="both"/>
        <w:rPr>
          <w:rFonts w:ascii="Arial" w:eastAsia="Arial" w:hAnsi="Arial" w:cs="Arial"/>
          <w:snapToGrid w:val="0"/>
          <w:lang w:val="es-ES_tradnl"/>
        </w:rPr>
      </w:pPr>
      <w:r w:rsidRPr="00631560">
        <w:rPr>
          <w:rFonts w:ascii="Arial" w:hAnsi="Arial" w:cs="Arial"/>
          <w:b/>
          <w:bCs/>
          <w:lang w:val="es-ES_tradnl"/>
        </w:rPr>
        <w:t>El Grupo reconoció</w:t>
      </w:r>
      <w:r w:rsidRPr="00631560">
        <w:rPr>
          <w:rFonts w:ascii="Arial" w:hAnsi="Arial" w:cs="Arial"/>
          <w:lang w:val="es-ES_tradnl"/>
        </w:rPr>
        <w:t xml:space="preserve"> que el avance de la aplicación de los protocolos comunes de alerta (PCA) a escala mundial representaba una etapa importante en relación con la iniciativa Alertas Tempranas para Todos (EW4All), que los PCA podían considerarse el puente que conecta </w:t>
      </w:r>
      <w:r w:rsidR="006640B8">
        <w:rPr>
          <w:rFonts w:ascii="Arial" w:hAnsi="Arial" w:cs="Arial"/>
          <w:lang w:val="es-ES_tradnl"/>
        </w:rPr>
        <w:t>“</w:t>
      </w:r>
      <w:r w:rsidRPr="00631560">
        <w:rPr>
          <w:rFonts w:ascii="Arial" w:hAnsi="Arial" w:cs="Arial"/>
          <w:lang w:val="es-ES_tradnl"/>
        </w:rPr>
        <w:t>las observaciones, la vigilancia, el análisis y la previsión</w:t>
      </w:r>
      <w:r w:rsidR="006640B8">
        <w:rPr>
          <w:rFonts w:ascii="Arial" w:hAnsi="Arial" w:cs="Arial"/>
          <w:lang w:val="es-ES_tradnl"/>
        </w:rPr>
        <w:t>”</w:t>
      </w:r>
      <w:r w:rsidRPr="00631560">
        <w:rPr>
          <w:rFonts w:ascii="Arial" w:hAnsi="Arial" w:cs="Arial"/>
          <w:lang w:val="es-ES_tradnl"/>
        </w:rPr>
        <w:t xml:space="preserve"> con </w:t>
      </w:r>
      <w:r w:rsidR="006640B8">
        <w:rPr>
          <w:rFonts w:ascii="Arial" w:hAnsi="Arial" w:cs="Arial"/>
          <w:lang w:val="es-ES_tradnl"/>
        </w:rPr>
        <w:t>“</w:t>
      </w:r>
      <w:r w:rsidRPr="00631560">
        <w:rPr>
          <w:rFonts w:ascii="Arial" w:hAnsi="Arial" w:cs="Arial"/>
          <w:lang w:val="es-ES_tradnl"/>
        </w:rPr>
        <w:t>la difusión y la comunicación de las alertas</w:t>
      </w:r>
      <w:r w:rsidR="006640B8">
        <w:rPr>
          <w:rFonts w:ascii="Arial" w:hAnsi="Arial" w:cs="Arial"/>
          <w:lang w:val="es-ES_tradnl"/>
        </w:rPr>
        <w:t>”</w:t>
      </w:r>
      <w:r w:rsidRPr="00631560">
        <w:rPr>
          <w:rFonts w:ascii="Arial" w:hAnsi="Arial" w:cs="Arial"/>
          <w:lang w:val="es-ES_tradnl"/>
        </w:rPr>
        <w:t>, y que la Organización Meteorológica Mundial (OMM) estaba en condiciones de prestar toda la asistencia que pudiera ser necesaria a este respecto.</w:t>
      </w:r>
    </w:p>
    <w:p w14:paraId="5F7E7366" w14:textId="77777777" w:rsidR="001230A9" w:rsidRPr="00631560" w:rsidRDefault="001230A9" w:rsidP="001230A9">
      <w:pPr>
        <w:tabs>
          <w:tab w:val="left" w:pos="709"/>
        </w:tabs>
        <w:snapToGrid w:val="0"/>
        <w:spacing w:after="240" w:line="240" w:lineRule="auto"/>
        <w:jc w:val="both"/>
        <w:rPr>
          <w:rFonts w:ascii="Arial" w:eastAsia="Arial" w:hAnsi="Arial" w:cs="Arial"/>
          <w:snapToGrid w:val="0"/>
          <w:lang w:val="es-ES_tradnl"/>
        </w:rPr>
      </w:pPr>
      <w:r w:rsidRPr="00631560">
        <w:rPr>
          <w:rFonts w:ascii="Arial" w:hAnsi="Arial" w:cs="Arial"/>
          <w:b/>
          <w:bCs/>
          <w:lang w:val="es-ES_tradnl"/>
        </w:rPr>
        <w:t>El Grupo encargó</w:t>
      </w:r>
      <w:r w:rsidRPr="00631560">
        <w:rPr>
          <w:rFonts w:ascii="Arial" w:hAnsi="Arial" w:cs="Arial"/>
          <w:lang w:val="es-ES_tradnl"/>
        </w:rPr>
        <w:t xml:space="preserve"> al TT-DMP que:</w:t>
      </w:r>
    </w:p>
    <w:p w14:paraId="782AB85C" w14:textId="370B0A6B" w:rsidR="00A40455" w:rsidRPr="001230A9" w:rsidRDefault="001230A9" w:rsidP="001230A9">
      <w:pPr>
        <w:numPr>
          <w:ilvl w:val="0"/>
          <w:numId w:val="25"/>
        </w:numPr>
        <w:snapToGrid w:val="0"/>
        <w:spacing w:after="240" w:line="240" w:lineRule="auto"/>
        <w:ind w:left="851" w:hanging="284"/>
        <w:jc w:val="both"/>
        <w:rPr>
          <w:rFonts w:ascii="Arial" w:eastAsia="Arial" w:hAnsi="Arial" w:cs="Arial"/>
          <w:snapToGrid w:val="0"/>
          <w:lang w:val="es-ES_tradnl"/>
        </w:rPr>
      </w:pPr>
      <w:r w:rsidRPr="001230A9">
        <w:rPr>
          <w:rFonts w:ascii="Arial" w:hAnsi="Arial" w:cs="Arial"/>
          <w:lang w:val="es-ES_tradnl"/>
        </w:rPr>
        <w:t>preparara directrices con miras a elaborar procedimientos operativos estándar inclusivos basándose en el establecimiento de procedimientos operativos estándar inclusivos y herramientas de alerta inclusivas para niños con discapacidad en Indonesia y el Caribe.</w:t>
      </w:r>
    </w:p>
    <w:p w14:paraId="19EF8C46" w14:textId="0EA682C4" w:rsidR="00A40455" w:rsidRPr="001230A9" w:rsidRDefault="001230A9" w:rsidP="00A40455">
      <w:pPr>
        <w:tabs>
          <w:tab w:val="left" w:pos="709"/>
        </w:tabs>
        <w:snapToGrid w:val="0"/>
        <w:spacing w:after="240" w:line="240" w:lineRule="auto"/>
        <w:jc w:val="both"/>
        <w:rPr>
          <w:rFonts w:ascii="Arial" w:eastAsia="Arial" w:hAnsi="Arial" w:cs="Arial"/>
          <w:snapToGrid w:val="0"/>
          <w:lang w:val="es-ES_tradnl"/>
        </w:rPr>
      </w:pPr>
      <w:r w:rsidRPr="00631560">
        <w:rPr>
          <w:rFonts w:ascii="Arial" w:hAnsi="Arial" w:cs="Arial"/>
          <w:b/>
          <w:bCs/>
          <w:lang w:val="es-ES_tradnl"/>
        </w:rPr>
        <w:t>El Grupo encargó</w:t>
      </w:r>
      <w:r w:rsidRPr="00631560">
        <w:rPr>
          <w:rFonts w:ascii="Arial" w:hAnsi="Arial" w:cs="Arial"/>
          <w:lang w:val="es-ES_tradnl"/>
        </w:rPr>
        <w:t xml:space="preserve"> al TT-TWO que:</w:t>
      </w:r>
    </w:p>
    <w:p w14:paraId="5EFBB483" w14:textId="77777777" w:rsidR="001230A9" w:rsidRPr="00631560" w:rsidRDefault="001230A9" w:rsidP="004820BE">
      <w:pPr>
        <w:numPr>
          <w:ilvl w:val="0"/>
          <w:numId w:val="25"/>
        </w:numPr>
        <w:snapToGrid w:val="0"/>
        <w:spacing w:after="240" w:line="240" w:lineRule="auto"/>
        <w:ind w:left="851" w:hanging="284"/>
        <w:jc w:val="both"/>
        <w:rPr>
          <w:rFonts w:ascii="Arial" w:eastAsia="Arial" w:hAnsi="Arial" w:cs="Arial"/>
          <w:bCs/>
          <w:snapToGrid w:val="0"/>
          <w:lang w:val="es-ES_tradnl"/>
        </w:rPr>
      </w:pPr>
      <w:bookmarkStart w:id="4" w:name="_Hlk128689899"/>
      <w:r w:rsidRPr="00631560">
        <w:rPr>
          <w:rFonts w:ascii="Arial" w:hAnsi="Arial" w:cs="Arial"/>
          <w:lang w:val="es-ES_tradnl"/>
        </w:rPr>
        <w:t>incluyera los tsunamis generados por desprendimientos de tierras submarinos y subaéreos en su programa de trabajo y cooperara con la comunidad científica y operacional que se ocupa de los riesgos de deslizamientos de tierras y de la alerta temprana a fin de responder a las exigencias del primer objetivo del Programa de Tsunamis del Decenio del Océano, consistente en desarrollar las capacidades de los sistemas de alerta para emitir alertas claras y rápidas dirigidas a todas las comunidades costeras que corran peligro en caso de tsunami, cualquiera que sea su fuente;</w:t>
      </w:r>
    </w:p>
    <w:p w14:paraId="5B76EC24" w14:textId="77777777" w:rsidR="001230A9" w:rsidRPr="001230A9" w:rsidRDefault="001230A9" w:rsidP="004820BE">
      <w:pPr>
        <w:numPr>
          <w:ilvl w:val="0"/>
          <w:numId w:val="25"/>
        </w:numPr>
        <w:snapToGrid w:val="0"/>
        <w:spacing w:after="240" w:line="240" w:lineRule="auto"/>
        <w:ind w:left="851" w:hanging="284"/>
        <w:jc w:val="both"/>
        <w:rPr>
          <w:rFonts w:ascii="Arial" w:eastAsia="SimSun" w:hAnsi="Arial" w:cs="Arial"/>
          <w:snapToGrid w:val="0"/>
          <w:lang w:val="es-ES_tradnl"/>
        </w:rPr>
      </w:pPr>
      <w:proofErr w:type="spellStart"/>
      <w:r w:rsidRPr="00631560">
        <w:rPr>
          <w:rFonts w:ascii="Arial" w:hAnsi="Arial" w:cs="Arial"/>
          <w:lang w:val="es-ES_tradnl"/>
        </w:rPr>
        <w:t>elaborara</w:t>
      </w:r>
      <w:proofErr w:type="spellEnd"/>
      <w:r w:rsidRPr="00631560">
        <w:rPr>
          <w:rFonts w:ascii="Arial" w:hAnsi="Arial" w:cs="Arial"/>
          <w:lang w:val="es-ES_tradnl"/>
        </w:rPr>
        <w:t xml:space="preserve">, en colaboración con la OMM, un modelo de PCA mundial para los proveedores de servicios sobre tsunamis (TSP), a fin de facilitar la difusión de boletines entre los TSP y los centros nacionales de alerta contra los tsunamis </w:t>
      </w:r>
      <w:r w:rsidRPr="00631560">
        <w:rPr>
          <w:rFonts w:ascii="Arial" w:hAnsi="Arial" w:cs="Arial"/>
          <w:lang w:val="es-ES_tradnl"/>
        </w:rPr>
        <w:lastRenderedPageBreak/>
        <w:t>(NTWC), entre los TSP de diferentes cuencas, así como para los boletines públicos de los TSP, y lo sometiera a la aprobación del TOWS-WG en su próxima reunión.</w:t>
      </w:r>
    </w:p>
    <w:p w14:paraId="490F4888" w14:textId="7BF8BD97" w:rsidR="00A40455" w:rsidRPr="001230A9" w:rsidRDefault="001230A9" w:rsidP="001230A9">
      <w:pPr>
        <w:tabs>
          <w:tab w:val="left" w:pos="709"/>
        </w:tabs>
        <w:snapToGrid w:val="0"/>
        <w:spacing w:before="240" w:after="240" w:line="240" w:lineRule="auto"/>
        <w:jc w:val="both"/>
        <w:rPr>
          <w:rFonts w:ascii="Arial" w:eastAsia="SimSun" w:hAnsi="Arial" w:cs="Arial"/>
          <w:snapToGrid w:val="0"/>
          <w:lang w:val="es-ES_tradnl"/>
        </w:rPr>
      </w:pPr>
      <w:r w:rsidRPr="00631560">
        <w:rPr>
          <w:rFonts w:ascii="Arial" w:hAnsi="Arial" w:cs="Arial"/>
          <w:b/>
          <w:bCs/>
          <w:lang w:val="es-ES_tradnl"/>
        </w:rPr>
        <w:t>El Grupo recomendó</w:t>
      </w:r>
      <w:r w:rsidRPr="00631560">
        <w:rPr>
          <w:rFonts w:ascii="Arial" w:hAnsi="Arial" w:cs="Arial"/>
          <w:lang w:val="es-ES_tradnl"/>
        </w:rPr>
        <w:t xml:space="preserve"> a la Asamblea de la COI que, en su 33ª reunión (2025), </w:t>
      </w:r>
      <w:r w:rsidRPr="00631560">
        <w:rPr>
          <w:rFonts w:ascii="Arial" w:hAnsi="Arial" w:cs="Arial"/>
          <w:b/>
          <w:bCs/>
          <w:lang w:val="es-ES_tradnl"/>
        </w:rPr>
        <w:t>aprobara</w:t>
      </w:r>
      <w:r w:rsidRPr="00631560">
        <w:rPr>
          <w:rFonts w:ascii="Arial" w:hAnsi="Arial" w:cs="Arial"/>
          <w:lang w:val="es-ES_tradnl"/>
        </w:rPr>
        <w:t xml:space="preserve"> el Plan de Ejecución de la Coalición Tsunami Ready, revisado por el ODTP-SC y los TT-DMP y TT-TWO, en particular:</w:t>
      </w:r>
    </w:p>
    <w:p w14:paraId="6A5E6AA9" w14:textId="07E55A52" w:rsidR="00A40455" w:rsidRPr="001230A9" w:rsidRDefault="001230A9" w:rsidP="001230A9">
      <w:pPr>
        <w:numPr>
          <w:ilvl w:val="0"/>
          <w:numId w:val="29"/>
        </w:numPr>
        <w:snapToGrid w:val="0"/>
        <w:spacing w:before="240" w:after="240" w:line="240" w:lineRule="auto"/>
        <w:ind w:left="851" w:hanging="284"/>
        <w:contextualSpacing/>
        <w:jc w:val="both"/>
        <w:rPr>
          <w:rFonts w:ascii="Arial" w:eastAsia="SimSun" w:hAnsi="Arial" w:cs="Arial"/>
          <w:snapToGrid w:val="0"/>
          <w:lang w:val="es-ES_tradnl"/>
        </w:rPr>
      </w:pPr>
      <w:r w:rsidRPr="001230A9">
        <w:rPr>
          <w:rFonts w:ascii="Arial" w:hAnsi="Arial" w:cs="Arial"/>
          <w:lang w:val="es-ES_tradnl"/>
        </w:rPr>
        <w:t>el mandato y las atribuciones de la Coalición,</w:t>
      </w:r>
    </w:p>
    <w:p w14:paraId="432ECCC1" w14:textId="1AEBB24B" w:rsidR="00A40455" w:rsidRPr="001230A9" w:rsidRDefault="001230A9" w:rsidP="001230A9">
      <w:pPr>
        <w:numPr>
          <w:ilvl w:val="0"/>
          <w:numId w:val="29"/>
        </w:numPr>
        <w:snapToGrid w:val="0"/>
        <w:spacing w:before="240" w:after="240" w:line="240" w:lineRule="auto"/>
        <w:ind w:left="851" w:hanging="284"/>
        <w:contextualSpacing/>
        <w:jc w:val="both"/>
        <w:rPr>
          <w:rFonts w:ascii="Arial" w:eastAsia="SimSun" w:hAnsi="Arial" w:cs="Arial"/>
          <w:snapToGrid w:val="0"/>
          <w:lang w:val="es-ES_tradnl"/>
        </w:rPr>
      </w:pPr>
      <w:r w:rsidRPr="004820BE">
        <w:rPr>
          <w:rFonts w:ascii="Arial" w:hAnsi="Arial" w:cs="Arial"/>
        </w:rPr>
        <w:t>la</w:t>
      </w:r>
      <w:r w:rsidRPr="001230A9">
        <w:rPr>
          <w:rFonts w:ascii="Arial" w:hAnsi="Arial" w:cs="Arial"/>
          <w:lang w:val="es-ES_tradnl"/>
        </w:rPr>
        <w:t xml:space="preserve"> estructura de la Coalición, y</w:t>
      </w:r>
    </w:p>
    <w:p w14:paraId="7571EF83" w14:textId="4C42CB23" w:rsidR="00A40455" w:rsidRPr="001230A9" w:rsidRDefault="001230A9" w:rsidP="001230A9">
      <w:pPr>
        <w:numPr>
          <w:ilvl w:val="0"/>
          <w:numId w:val="29"/>
        </w:numPr>
        <w:snapToGrid w:val="0"/>
        <w:spacing w:before="240" w:line="240" w:lineRule="auto"/>
        <w:ind w:left="851" w:hanging="284"/>
        <w:jc w:val="both"/>
        <w:rPr>
          <w:rFonts w:ascii="Arial" w:eastAsia="SimSun" w:hAnsi="Arial" w:cs="Arial"/>
          <w:snapToGrid w:val="0"/>
          <w:lang w:val="es-ES_tradnl"/>
        </w:rPr>
      </w:pPr>
      <w:r w:rsidRPr="001230A9">
        <w:rPr>
          <w:rFonts w:ascii="Arial" w:hAnsi="Arial" w:cs="Arial"/>
          <w:lang w:val="es-ES_tradnl"/>
        </w:rPr>
        <w:t>los principales asociados de la Coalición movilizados.</w:t>
      </w:r>
    </w:p>
    <w:p w14:paraId="70E4F7BC" w14:textId="2EEA3914" w:rsidR="00A40455" w:rsidRPr="001230A9" w:rsidRDefault="001230A9" w:rsidP="00A40455">
      <w:pPr>
        <w:tabs>
          <w:tab w:val="left" w:pos="709"/>
        </w:tabs>
        <w:snapToGrid w:val="0"/>
        <w:spacing w:before="240" w:after="240" w:line="240" w:lineRule="auto"/>
        <w:jc w:val="both"/>
        <w:rPr>
          <w:rFonts w:ascii="Arial" w:eastAsia="Arial" w:hAnsi="Arial" w:cs="Arial"/>
          <w:snapToGrid w:val="0"/>
          <w:lang w:val="es-ES_tradnl"/>
        </w:rPr>
      </w:pPr>
      <w:r w:rsidRPr="00631560">
        <w:rPr>
          <w:rFonts w:ascii="Arial" w:hAnsi="Arial" w:cs="Arial"/>
          <w:b/>
          <w:bCs/>
          <w:lang w:val="es-ES_tradnl"/>
        </w:rPr>
        <w:t>El Grupo recomendó también</w:t>
      </w:r>
      <w:r w:rsidRPr="00631560">
        <w:rPr>
          <w:rFonts w:ascii="Arial" w:hAnsi="Arial" w:cs="Arial"/>
          <w:lang w:val="es-ES_tradnl"/>
        </w:rPr>
        <w:t xml:space="preserve"> a la Asamblea de la COI que, en su 33ª reunión (2025), encomendara a los ICG regionales las siguientes tareas:</w:t>
      </w:r>
    </w:p>
    <w:bookmarkEnd w:id="4"/>
    <w:p w14:paraId="74730FE7" w14:textId="77777777" w:rsidR="001230A9" w:rsidRPr="00631560" w:rsidRDefault="001230A9" w:rsidP="001230A9">
      <w:pPr>
        <w:numPr>
          <w:ilvl w:val="0"/>
          <w:numId w:val="25"/>
        </w:numPr>
        <w:snapToGrid w:val="0"/>
        <w:spacing w:after="240" w:line="240" w:lineRule="auto"/>
        <w:ind w:left="851" w:hanging="284"/>
        <w:jc w:val="both"/>
        <w:rPr>
          <w:rFonts w:ascii="Arial" w:eastAsia="SimSun" w:hAnsi="Arial" w:cs="Arial"/>
          <w:snapToGrid w:val="0"/>
          <w:lang w:val="es-ES_tradnl"/>
        </w:rPr>
      </w:pPr>
      <w:r w:rsidRPr="00631560">
        <w:rPr>
          <w:rFonts w:ascii="Arial" w:hAnsi="Arial" w:cs="Arial"/>
          <w:lang w:val="es-ES_tradnl"/>
        </w:rPr>
        <w:t>establecer modalidades entre los proveedores de servicios sobre tsunamis (TSP) dentro de cada ICG para garantizar la prestación de servicios en todo momento en la totalidad de la zona atendida por el ICG;</w:t>
      </w:r>
    </w:p>
    <w:p w14:paraId="7D360B01" w14:textId="77777777" w:rsidR="001230A9" w:rsidRPr="00631560" w:rsidRDefault="001230A9" w:rsidP="001230A9">
      <w:pPr>
        <w:numPr>
          <w:ilvl w:val="0"/>
          <w:numId w:val="25"/>
        </w:numPr>
        <w:snapToGrid w:val="0"/>
        <w:spacing w:after="240" w:line="240" w:lineRule="auto"/>
        <w:ind w:left="851" w:hanging="284"/>
        <w:jc w:val="both"/>
        <w:rPr>
          <w:rFonts w:ascii="Arial" w:eastAsia="SimSun" w:hAnsi="Arial" w:cs="Arial"/>
          <w:snapToGrid w:val="0"/>
          <w:lang w:val="es-ES_tradnl"/>
        </w:rPr>
      </w:pPr>
      <w:r w:rsidRPr="00631560">
        <w:rPr>
          <w:rFonts w:ascii="Arial" w:hAnsi="Arial" w:cs="Arial"/>
          <w:lang w:val="es-ES_tradnl"/>
        </w:rPr>
        <w:t xml:space="preserve">elaborar procedimientos operativos estándar relativos a los volcanes con potencial tsunamigénico en sus focos sísmicos; </w:t>
      </w:r>
    </w:p>
    <w:p w14:paraId="1D513082" w14:textId="77777777" w:rsidR="001230A9" w:rsidRPr="00631560" w:rsidRDefault="001230A9" w:rsidP="001230A9">
      <w:pPr>
        <w:numPr>
          <w:ilvl w:val="0"/>
          <w:numId w:val="25"/>
        </w:numPr>
        <w:snapToGrid w:val="0"/>
        <w:spacing w:after="240" w:line="240" w:lineRule="auto"/>
        <w:ind w:left="851" w:hanging="284"/>
        <w:jc w:val="both"/>
        <w:rPr>
          <w:rFonts w:ascii="Arial" w:eastAsia="SimSun" w:hAnsi="Arial" w:cs="Arial"/>
          <w:snapToGrid w:val="0"/>
          <w:lang w:val="es-ES_tradnl"/>
        </w:rPr>
      </w:pPr>
      <w:r w:rsidRPr="00631560">
        <w:rPr>
          <w:rFonts w:ascii="Arial" w:hAnsi="Arial" w:cs="Arial"/>
          <w:lang w:val="es-ES_tradnl"/>
        </w:rPr>
        <w:t>velar por que al menos un TSP experimente la difusión de los boletines especializados de los proveedores de servicios sobre tsunamis destinados a la comunidad marítima en el Sistema de Alerta contra los Tsunamis y otras Amenazas Costeras en el Caribe y Regiones Adyacentes (CARIBE-EWS), el Sistema de Alerta contra los Tsunamis y Atenuación de sus Efectos en el Océano Índico (IOTWMS) y el Sistema de Alerta Temprana contra los Tsunamis y Atenuación de sus Efectos en el Atlántico Nororiental y el Mediterráneo y Mares Adyacentes (NEAMTWS), ya sea mediante las pruebas de comunicación previstas o simulacros de tsunami;</w:t>
      </w:r>
    </w:p>
    <w:p w14:paraId="6825E02E" w14:textId="4EBEAA8A" w:rsidR="00A40455" w:rsidRPr="001230A9" w:rsidRDefault="001230A9" w:rsidP="001230A9">
      <w:pPr>
        <w:numPr>
          <w:ilvl w:val="0"/>
          <w:numId w:val="25"/>
        </w:numPr>
        <w:snapToGrid w:val="0"/>
        <w:spacing w:after="240" w:line="240" w:lineRule="auto"/>
        <w:ind w:left="851" w:hanging="284"/>
        <w:jc w:val="both"/>
        <w:rPr>
          <w:rFonts w:ascii="Arial" w:eastAsia="SimSun" w:hAnsi="Arial" w:cs="Arial"/>
          <w:snapToGrid w:val="0"/>
          <w:lang w:val="es-ES_tradnl"/>
        </w:rPr>
      </w:pPr>
      <w:r w:rsidRPr="00631560">
        <w:rPr>
          <w:rFonts w:ascii="Arial" w:hAnsi="Arial" w:cs="Arial"/>
          <w:lang w:val="es-ES_tradnl"/>
        </w:rPr>
        <w:t>velar por que en 2025 al menos un TSP en cada ICG haya procedido a la implantación operacional completa de los boletines destinados a la comunidad marítima.</w:t>
      </w:r>
    </w:p>
    <w:p w14:paraId="101628E5" w14:textId="1207782E" w:rsidR="00A40455" w:rsidRPr="001230A9" w:rsidRDefault="001230A9" w:rsidP="00A40455">
      <w:pPr>
        <w:tabs>
          <w:tab w:val="left" w:pos="709"/>
        </w:tabs>
        <w:snapToGrid w:val="0"/>
        <w:spacing w:after="240" w:line="240" w:lineRule="auto"/>
        <w:jc w:val="both"/>
        <w:rPr>
          <w:rFonts w:ascii="Arial" w:eastAsia="Arial" w:hAnsi="Arial" w:cs="Arial"/>
          <w:snapToGrid w:val="0"/>
          <w:lang w:val="es-ES_tradnl"/>
        </w:rPr>
      </w:pPr>
      <w:r w:rsidRPr="00631560">
        <w:rPr>
          <w:rFonts w:ascii="Arial" w:hAnsi="Arial" w:cs="Arial"/>
          <w:b/>
          <w:bCs/>
          <w:lang w:val="es-ES_tradnl"/>
        </w:rPr>
        <w:t>El Grupo recomendó además</w:t>
      </w:r>
      <w:r w:rsidRPr="00631560">
        <w:rPr>
          <w:rFonts w:ascii="Arial" w:hAnsi="Arial" w:cs="Arial"/>
          <w:lang w:val="es-ES_tradnl"/>
        </w:rPr>
        <w:t xml:space="preserve"> a la Asamblea de la COI que, en su 33ª reunión (2025), recomendara a los ICG regionales que:</w:t>
      </w:r>
    </w:p>
    <w:p w14:paraId="21E3EBE8" w14:textId="77777777" w:rsidR="001230A9" w:rsidRPr="00631560" w:rsidRDefault="001230A9" w:rsidP="001230A9">
      <w:pPr>
        <w:numPr>
          <w:ilvl w:val="0"/>
          <w:numId w:val="25"/>
        </w:numPr>
        <w:snapToGrid w:val="0"/>
        <w:spacing w:after="240" w:line="240" w:lineRule="auto"/>
        <w:ind w:left="851" w:hanging="284"/>
        <w:jc w:val="both"/>
        <w:rPr>
          <w:rFonts w:ascii="Arial" w:eastAsia="SimSun" w:hAnsi="Arial" w:cs="Arial"/>
          <w:snapToGrid w:val="0"/>
          <w:lang w:val="es-ES_tradnl"/>
        </w:rPr>
      </w:pPr>
      <w:r w:rsidRPr="00631560">
        <w:rPr>
          <w:rFonts w:ascii="Arial" w:hAnsi="Arial" w:cs="Arial"/>
          <w:lang w:val="es-ES_tradnl"/>
        </w:rPr>
        <w:t>establecieran relaciones entre el Servicio Meteorológico e Hidrológico Nacional (SMHN) y los TSP/NTWC con el fin de garantizar que los instrumentos específicos relativos a los tsunamis, en particular los tsunámetros/Sistemas de Información y Evaluación de Tsunamis en el Fondo Marino (DART)® y los sistemas de cables oceánicos se vigilen y utilicen correctamente para la detección de tsunamis meteorológicos;</w:t>
      </w:r>
    </w:p>
    <w:p w14:paraId="3FDDD868" w14:textId="77777777" w:rsidR="001230A9" w:rsidRPr="00631560" w:rsidRDefault="001230A9" w:rsidP="001230A9">
      <w:pPr>
        <w:numPr>
          <w:ilvl w:val="0"/>
          <w:numId w:val="25"/>
        </w:numPr>
        <w:snapToGrid w:val="0"/>
        <w:spacing w:after="240" w:line="240" w:lineRule="auto"/>
        <w:ind w:left="851" w:hanging="284"/>
        <w:jc w:val="both"/>
        <w:rPr>
          <w:rFonts w:ascii="Arial" w:eastAsia="SimSun" w:hAnsi="Arial" w:cs="Arial"/>
          <w:snapToGrid w:val="0"/>
          <w:lang w:val="es-ES_tradnl"/>
        </w:rPr>
      </w:pPr>
      <w:r w:rsidRPr="00631560">
        <w:rPr>
          <w:rFonts w:ascii="Arial" w:hAnsi="Arial" w:cs="Arial"/>
          <w:lang w:val="es-ES_tradnl"/>
        </w:rPr>
        <w:t>prosiguieran las investigaciones sobre los métodos de previsión de tsunamis que podrían adoptarse, comprendidos los métodos probabilísticos, con miras a una previsión basada en el impacto, que también podría contribuir a los procesos de respuesta, recuperación y evaluación de las necesidades tras un desastre;</w:t>
      </w:r>
    </w:p>
    <w:p w14:paraId="7FD43855" w14:textId="3CC3DF4E" w:rsidR="00A40455" w:rsidRPr="001230A9" w:rsidRDefault="001230A9" w:rsidP="001230A9">
      <w:pPr>
        <w:numPr>
          <w:ilvl w:val="0"/>
          <w:numId w:val="25"/>
        </w:numPr>
        <w:snapToGrid w:val="0"/>
        <w:spacing w:after="240" w:line="240" w:lineRule="auto"/>
        <w:ind w:left="851" w:hanging="284"/>
        <w:jc w:val="both"/>
        <w:rPr>
          <w:rFonts w:ascii="Arial" w:eastAsia="SimSun" w:hAnsi="Arial" w:cs="Arial"/>
          <w:snapToGrid w:val="0"/>
          <w:lang w:val="es-ES_tradnl"/>
        </w:rPr>
      </w:pPr>
      <w:r w:rsidRPr="00631560">
        <w:rPr>
          <w:rFonts w:ascii="Arial" w:hAnsi="Arial" w:cs="Arial"/>
          <w:lang w:val="es-ES_tradnl"/>
        </w:rPr>
        <w:t>dieran prioridad a los talleres o cumbres regionales sobre el Programa de Reconocimiento Tsunami Ready en 2025 y celebraran otros talleres o cumbres antes de 2030.</w:t>
      </w:r>
    </w:p>
    <w:p w14:paraId="6FC6B5E0" w14:textId="77777777" w:rsidR="001230A9" w:rsidRPr="00631560" w:rsidRDefault="001230A9" w:rsidP="001230A9">
      <w:pPr>
        <w:tabs>
          <w:tab w:val="left" w:pos="709"/>
        </w:tabs>
        <w:snapToGrid w:val="0"/>
        <w:spacing w:after="240" w:line="240" w:lineRule="auto"/>
        <w:jc w:val="both"/>
        <w:rPr>
          <w:rFonts w:ascii="Arial" w:eastAsia="DengXian" w:hAnsi="Arial" w:cs="Arial"/>
          <w:lang w:val="es-ES_tradnl"/>
        </w:rPr>
      </w:pPr>
      <w:r w:rsidRPr="00631560">
        <w:rPr>
          <w:rFonts w:ascii="Arial" w:hAnsi="Arial" w:cs="Arial"/>
          <w:b/>
          <w:bCs/>
          <w:lang w:val="es-ES_tradnl"/>
        </w:rPr>
        <w:t>El Grupo recomendó</w:t>
      </w:r>
      <w:r w:rsidRPr="00631560">
        <w:rPr>
          <w:rFonts w:ascii="Arial" w:hAnsi="Arial" w:cs="Arial"/>
          <w:lang w:val="es-ES_tradnl"/>
        </w:rPr>
        <w:t xml:space="preserve"> a la Asamblea de la COI que, en su 33ª reunión (2025), </w:t>
      </w:r>
      <w:r w:rsidRPr="00631560">
        <w:rPr>
          <w:rFonts w:ascii="Arial" w:hAnsi="Arial" w:cs="Arial"/>
          <w:b/>
          <w:bCs/>
          <w:lang w:val="es-ES_tradnl"/>
        </w:rPr>
        <w:t>pidiera</w:t>
      </w:r>
      <w:r w:rsidRPr="00631560">
        <w:rPr>
          <w:rFonts w:ascii="Arial" w:hAnsi="Arial" w:cs="Arial"/>
          <w:lang w:val="es-ES_tradnl"/>
        </w:rPr>
        <w:t xml:space="preserve"> a los Estados Miembros de la COI que dieran prioridad a la instalación de nuevos mareógrafos costeros y sistemas de detección/observación de los tsunamis en regiones que presenten un </w:t>
      </w:r>
      <w:r w:rsidRPr="00631560">
        <w:rPr>
          <w:rFonts w:ascii="Arial" w:hAnsi="Arial" w:cs="Arial"/>
          <w:lang w:val="es-ES_tradnl"/>
        </w:rPr>
        <w:lastRenderedPageBreak/>
        <w:t>alto riesgo de tsunami y comprendan zonas prioritarias con deficiencias conocidas en materia de cobertura (por orden alfabético: mar Amarillo, mar Caribe (Oeste, Norte y Sudeste), mar de China Meridional, mar Egeo, mar de Filipinas, mar de las Salomón, mar de Timor, Norte de África y océano Índico (Este y Norte)), para detectar y verificar la aparición de tsunamis lo antes posible</w:t>
      </w:r>
      <w:bookmarkStart w:id="5" w:name="_Hlk191363767"/>
      <w:bookmarkEnd w:id="5"/>
      <w:r w:rsidRPr="00631560">
        <w:rPr>
          <w:rFonts w:ascii="Arial" w:hAnsi="Arial" w:cs="Arial"/>
          <w:lang w:val="es-ES_tradnl"/>
        </w:rPr>
        <w:t>.</w:t>
      </w:r>
    </w:p>
    <w:p w14:paraId="353C4F82" w14:textId="77777777" w:rsidR="001230A9" w:rsidRPr="00631560" w:rsidRDefault="001230A9" w:rsidP="001230A9">
      <w:pPr>
        <w:tabs>
          <w:tab w:val="left" w:pos="709"/>
        </w:tabs>
        <w:snapToGrid w:val="0"/>
        <w:spacing w:after="240" w:line="240" w:lineRule="auto"/>
        <w:jc w:val="both"/>
        <w:rPr>
          <w:rFonts w:ascii="Arial" w:eastAsia="SimSun" w:hAnsi="Arial" w:cs="Arial"/>
          <w:snapToGrid w:val="0"/>
          <w:lang w:val="es-ES_tradnl"/>
        </w:rPr>
      </w:pPr>
      <w:bookmarkStart w:id="6" w:name="_Hlk191330080"/>
      <w:r w:rsidRPr="00631560">
        <w:rPr>
          <w:rFonts w:ascii="Arial" w:hAnsi="Arial" w:cs="Arial"/>
          <w:b/>
          <w:bCs/>
          <w:lang w:val="es-ES_tradnl"/>
        </w:rPr>
        <w:t>El Grupo recomendó también</w:t>
      </w:r>
      <w:r w:rsidRPr="00631560">
        <w:rPr>
          <w:rFonts w:ascii="Arial" w:hAnsi="Arial" w:cs="Arial"/>
          <w:lang w:val="es-ES_tradnl"/>
        </w:rPr>
        <w:t xml:space="preserve"> a la Asamblea de la COI que, en su 33ª reunión (2025), alentara a los Estados Miembros de la COI a controlar el estado de sus mareógrafos utilizados para detectar y vigilar los tsunamis, a repararlos lo antes posible en caso de avería, a añadir mareógrafos de ser posible y a comunicar sus datos en tiempo real, en los lugares en que su ICG hubiera observado deficiencias</w:t>
      </w:r>
      <w:bookmarkEnd w:id="6"/>
      <w:r w:rsidRPr="00631560">
        <w:rPr>
          <w:rFonts w:ascii="Arial" w:hAnsi="Arial" w:cs="Arial"/>
          <w:lang w:val="es-ES_tradnl"/>
        </w:rPr>
        <w:t>.</w:t>
      </w:r>
    </w:p>
    <w:p w14:paraId="65C305D1" w14:textId="77777777" w:rsidR="001230A9" w:rsidRPr="00631560" w:rsidRDefault="001230A9" w:rsidP="001230A9">
      <w:pPr>
        <w:tabs>
          <w:tab w:val="left" w:pos="709"/>
        </w:tabs>
        <w:snapToGrid w:val="0"/>
        <w:spacing w:after="240" w:line="240" w:lineRule="auto"/>
        <w:jc w:val="both"/>
        <w:rPr>
          <w:rFonts w:ascii="Arial" w:eastAsia="SimSun" w:hAnsi="Arial" w:cs="Arial"/>
          <w:snapToGrid w:val="0"/>
          <w:lang w:val="es-ES_tradnl"/>
        </w:rPr>
      </w:pPr>
      <w:r w:rsidRPr="00631560">
        <w:rPr>
          <w:rFonts w:ascii="Arial" w:hAnsi="Arial" w:cs="Arial"/>
          <w:b/>
          <w:bCs/>
          <w:lang w:val="es-ES_tradnl"/>
        </w:rPr>
        <w:t>El Grupo recomendó</w:t>
      </w:r>
      <w:r w:rsidRPr="00631560">
        <w:rPr>
          <w:rFonts w:ascii="Arial" w:hAnsi="Arial" w:cs="Arial"/>
          <w:lang w:val="es-ES_tradnl"/>
        </w:rPr>
        <w:t xml:space="preserve"> a los Estados Miembros que invirtieran más en instrumentos de detección y observación de la actividad sísmica y el nivel del mar en alta mar, como tsunámetros/DART®/boyas GPS/sistemas cableados (por ejemplo, cables SMART), en la medida de lo posible, con capacidades de observación de peligros múltiples, respondiendo así a las necesidades en materia de sismología, meteorología y oceanografía.</w:t>
      </w:r>
    </w:p>
    <w:p w14:paraId="05C309BB" w14:textId="77777777" w:rsidR="001230A9" w:rsidRPr="00631560" w:rsidRDefault="001230A9" w:rsidP="001230A9">
      <w:pPr>
        <w:tabs>
          <w:tab w:val="left" w:pos="709"/>
        </w:tabs>
        <w:snapToGrid w:val="0"/>
        <w:spacing w:after="240" w:line="240" w:lineRule="auto"/>
        <w:jc w:val="both"/>
        <w:rPr>
          <w:rFonts w:ascii="Arial" w:eastAsia="DengXian" w:hAnsi="Arial" w:cs="Arial"/>
          <w:lang w:val="es-ES_tradnl"/>
        </w:rPr>
      </w:pPr>
      <w:r w:rsidRPr="00631560">
        <w:rPr>
          <w:rFonts w:ascii="Arial" w:hAnsi="Arial" w:cs="Arial"/>
          <w:b/>
          <w:bCs/>
          <w:lang w:val="es-ES_tradnl"/>
        </w:rPr>
        <w:t>El Grupo recomendó además</w:t>
      </w:r>
      <w:r w:rsidRPr="00631560">
        <w:rPr>
          <w:rFonts w:ascii="Arial" w:hAnsi="Arial" w:cs="Arial"/>
          <w:lang w:val="es-ES_tradnl"/>
        </w:rPr>
        <w:t xml:space="preserve"> a la Asamblea de la COI que, en su 33ª reunión (2025), alentara a los Estados Miembros a aportar contribuciones financieras voluntarias a la Cuenta Especial de la COI y contribuciones en especie para apoyar el Programa de Tsunamis del Decenio del Océano, el Programa de Reconocimiento Tsunami Ready y la Coalición Tsunami Ready. </w:t>
      </w:r>
    </w:p>
    <w:p w14:paraId="26590681" w14:textId="77777777" w:rsidR="001230A9" w:rsidRPr="00631560" w:rsidRDefault="001230A9" w:rsidP="001230A9">
      <w:pPr>
        <w:tabs>
          <w:tab w:val="left" w:pos="709"/>
        </w:tabs>
        <w:snapToGrid w:val="0"/>
        <w:spacing w:after="240" w:line="240" w:lineRule="auto"/>
        <w:jc w:val="both"/>
        <w:rPr>
          <w:rFonts w:ascii="Arial" w:eastAsia="SimSun" w:hAnsi="Arial" w:cs="Arial"/>
          <w:snapToGrid w:val="0"/>
          <w:lang w:val="es-ES_tradnl"/>
        </w:rPr>
      </w:pPr>
      <w:r w:rsidRPr="00631560">
        <w:rPr>
          <w:rFonts w:ascii="Arial" w:hAnsi="Arial" w:cs="Arial"/>
          <w:b/>
          <w:bCs/>
          <w:lang w:val="es-ES_tradnl"/>
        </w:rPr>
        <w:t>El Grupo recomendó</w:t>
      </w:r>
      <w:r w:rsidRPr="00631560">
        <w:rPr>
          <w:rFonts w:ascii="Arial" w:hAnsi="Arial" w:cs="Arial"/>
          <w:lang w:val="es-ES_tradnl"/>
        </w:rPr>
        <w:t xml:space="preserve"> a la Asamblea de la COI que, en su 33ª reunión (2025), </w:t>
      </w:r>
      <w:r w:rsidRPr="00631560">
        <w:rPr>
          <w:rFonts w:ascii="Arial" w:hAnsi="Arial" w:cs="Arial"/>
          <w:b/>
          <w:bCs/>
          <w:lang w:val="es-ES_tradnl"/>
        </w:rPr>
        <w:t>pidiera</w:t>
      </w:r>
      <w:r w:rsidRPr="00631560">
        <w:rPr>
          <w:rFonts w:ascii="Arial" w:hAnsi="Arial" w:cs="Arial"/>
          <w:lang w:val="es-ES_tradnl"/>
        </w:rPr>
        <w:t xml:space="preserve"> a la Secretaría de la COI que:</w:t>
      </w:r>
    </w:p>
    <w:p w14:paraId="00964F5A" w14:textId="77777777" w:rsidR="001230A9" w:rsidRPr="00631560" w:rsidRDefault="001230A9" w:rsidP="001230A9">
      <w:pPr>
        <w:numPr>
          <w:ilvl w:val="0"/>
          <w:numId w:val="25"/>
        </w:numPr>
        <w:snapToGrid w:val="0"/>
        <w:spacing w:after="240" w:line="240" w:lineRule="auto"/>
        <w:ind w:left="851" w:hanging="284"/>
        <w:jc w:val="both"/>
        <w:rPr>
          <w:rFonts w:ascii="Arial" w:eastAsia="SimSun" w:hAnsi="Arial" w:cs="Arial"/>
          <w:snapToGrid w:val="0"/>
          <w:lang w:val="es-ES_tradnl"/>
        </w:rPr>
      </w:pPr>
      <w:proofErr w:type="spellStart"/>
      <w:r w:rsidRPr="00631560">
        <w:rPr>
          <w:rFonts w:ascii="Arial" w:hAnsi="Arial" w:cs="Arial"/>
          <w:lang w:val="es-ES_tradnl"/>
        </w:rPr>
        <w:t>informara</w:t>
      </w:r>
      <w:proofErr w:type="spellEnd"/>
      <w:r w:rsidRPr="00631560">
        <w:rPr>
          <w:rFonts w:ascii="Arial" w:hAnsi="Arial" w:cs="Arial"/>
          <w:lang w:val="es-ES_tradnl"/>
        </w:rPr>
        <w:t xml:space="preserve"> a los Estados Miembros sobre la disponibilidad del conjunto de herramientas Tsunami Ready mediante el envío de una circular de la COI a los contactos nacionales sobre los tsunamis y a las juntas nacionales de Tsunami Ready, y lo difundiera ampliamente, incluyéndolo como apéndice de las directrices generales del Programa de Reconocimiento Tsunami Ready (Manuales y guías de la COI nº 74);</w:t>
      </w:r>
    </w:p>
    <w:p w14:paraId="4D81E76C" w14:textId="216ED097" w:rsidR="00A40455" w:rsidRPr="001230A9" w:rsidRDefault="001230A9" w:rsidP="001230A9">
      <w:pPr>
        <w:numPr>
          <w:ilvl w:val="0"/>
          <w:numId w:val="25"/>
        </w:numPr>
        <w:snapToGrid w:val="0"/>
        <w:spacing w:after="240" w:line="240" w:lineRule="auto"/>
        <w:ind w:left="851" w:hanging="284"/>
        <w:jc w:val="both"/>
        <w:rPr>
          <w:rFonts w:ascii="Arial" w:eastAsia="SimSun" w:hAnsi="Arial" w:cs="Arial"/>
          <w:snapToGrid w:val="0"/>
          <w:lang w:val="es-ES_tradnl"/>
        </w:rPr>
      </w:pPr>
      <w:proofErr w:type="spellStart"/>
      <w:r w:rsidRPr="00631560">
        <w:rPr>
          <w:rFonts w:ascii="Arial" w:hAnsi="Arial" w:cs="Arial"/>
          <w:lang w:val="es-ES_tradnl"/>
        </w:rPr>
        <w:t>comunicara</w:t>
      </w:r>
      <w:proofErr w:type="spellEnd"/>
      <w:r w:rsidRPr="00631560">
        <w:rPr>
          <w:rFonts w:ascii="Arial" w:hAnsi="Arial" w:cs="Arial"/>
          <w:lang w:val="es-ES_tradnl"/>
        </w:rPr>
        <w:t xml:space="preserve"> a los Estados Miembros la versión final del siguiente producto/modelo básico de alerta contra los tsunamis para su utilización por los radioaficionados, a modo de orientación;</w:t>
      </w:r>
    </w:p>
    <w:p w14:paraId="0B97FAAC" w14:textId="3ADCF88D" w:rsidR="00A40455" w:rsidRDefault="00A40455" w:rsidP="00A40455">
      <w:pPr>
        <w:tabs>
          <w:tab w:val="left" w:pos="709"/>
        </w:tabs>
        <w:snapToGrid w:val="0"/>
        <w:spacing w:after="240" w:line="240" w:lineRule="auto"/>
        <w:jc w:val="right"/>
        <w:rPr>
          <w:rFonts w:ascii="Arial" w:eastAsia="SimSun" w:hAnsi="Arial" w:cs="Arial"/>
          <w:snapToGrid w:val="0"/>
          <w:lang w:val="en-GB"/>
        </w:rPr>
      </w:pPr>
      <w:r w:rsidRPr="00B16BD5">
        <w:rPr>
          <w:rFonts w:ascii="Arial" w:eastAsia="SimSun" w:hAnsi="Arial" w:cs="Arial"/>
          <w:noProof/>
          <w:snapToGrid w:val="0"/>
          <w:lang w:val="en-GB"/>
        </w:rPr>
        <w:drawing>
          <wp:inline distT="0" distB="0" distL="0" distR="0" wp14:anchorId="4B57E9FA" wp14:editId="4B38032A">
            <wp:extent cx="5543812" cy="590309"/>
            <wp:effectExtent l="0" t="0" r="0" b="635"/>
            <wp:docPr id="666896947" name="Picture 1" descr="A black background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896947" name="Picture 1" descr="A black background with red text&#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6964" cy="608746"/>
                    </a:xfrm>
                    <a:prstGeom prst="rect">
                      <a:avLst/>
                    </a:prstGeom>
                    <a:noFill/>
                  </pic:spPr>
                </pic:pic>
              </a:graphicData>
            </a:graphic>
          </wp:inline>
        </w:drawing>
      </w:r>
    </w:p>
    <w:p w14:paraId="4A380BB8" w14:textId="1E731BC2" w:rsidR="008F730B" w:rsidRPr="001230A9" w:rsidRDefault="001230A9" w:rsidP="00E14488">
      <w:pPr>
        <w:pBdr>
          <w:top w:val="single" w:sz="4" w:space="1" w:color="auto"/>
          <w:left w:val="single" w:sz="4" w:space="0" w:color="auto"/>
          <w:bottom w:val="single" w:sz="4" w:space="1" w:color="auto"/>
          <w:right w:val="single" w:sz="4" w:space="4" w:color="auto"/>
        </w:pBdr>
        <w:tabs>
          <w:tab w:val="left" w:pos="709"/>
        </w:tabs>
        <w:snapToGrid w:val="0"/>
        <w:spacing w:after="240" w:line="240" w:lineRule="auto"/>
        <w:jc w:val="both"/>
        <w:rPr>
          <w:rFonts w:ascii="Arial" w:eastAsia="SimSun" w:hAnsi="Arial" w:cs="Arial"/>
          <w:snapToGrid w:val="0"/>
          <w:sz w:val="20"/>
          <w:szCs w:val="20"/>
          <w:lang w:val="es-ES_tradnl"/>
        </w:rPr>
      </w:pPr>
      <w:r w:rsidRPr="001230A9">
        <w:rPr>
          <w:rFonts w:ascii="Arial" w:eastAsia="SimSun" w:hAnsi="Arial" w:cs="Arial"/>
          <w:snapToGrid w:val="0"/>
          <w:sz w:val="20"/>
          <w:szCs w:val="20"/>
          <w:lang w:val="es-ES_tradnl"/>
        </w:rPr>
        <w:t xml:space="preserve">A las </w:t>
      </w:r>
      <w:r w:rsidRPr="001230A9">
        <w:rPr>
          <w:rFonts w:ascii="Arial" w:eastAsia="SimSun" w:hAnsi="Arial" w:cs="Arial"/>
          <w:i/>
          <w:snapToGrid w:val="0"/>
          <w:color w:val="FF0000"/>
          <w:sz w:val="20"/>
          <w:szCs w:val="20"/>
          <w:lang w:val="es-ES_tradnl"/>
        </w:rPr>
        <w:t>(XX.XX)</w:t>
      </w:r>
      <w:r w:rsidRPr="001230A9">
        <w:rPr>
          <w:rFonts w:ascii="Arial" w:eastAsia="SimSun" w:hAnsi="Arial" w:cs="Arial"/>
          <w:i/>
          <w:snapToGrid w:val="0"/>
          <w:sz w:val="20"/>
          <w:szCs w:val="20"/>
          <w:lang w:val="es-ES_tradnl"/>
        </w:rPr>
        <w:t xml:space="preserve"> </w:t>
      </w:r>
      <w:r w:rsidRPr="001230A9">
        <w:rPr>
          <w:rFonts w:ascii="Arial" w:eastAsia="SimSun" w:hAnsi="Arial" w:cs="Arial"/>
          <w:iCs/>
          <w:snapToGrid w:val="0"/>
          <w:sz w:val="20"/>
          <w:szCs w:val="20"/>
          <w:lang w:val="es-ES_tradnl"/>
        </w:rPr>
        <w:t xml:space="preserve">hora local, se registró un seísmo de magnitud </w:t>
      </w:r>
      <w:r w:rsidRPr="001230A9">
        <w:rPr>
          <w:rFonts w:ascii="Arial" w:eastAsia="SimSun" w:hAnsi="Arial" w:cs="Arial"/>
          <w:i/>
          <w:snapToGrid w:val="0"/>
          <w:color w:val="FF0000"/>
          <w:sz w:val="20"/>
          <w:szCs w:val="20"/>
          <w:lang w:val="es-ES_tradnl"/>
        </w:rPr>
        <w:t>X,X</w:t>
      </w:r>
      <w:r w:rsidRPr="001230A9">
        <w:rPr>
          <w:rFonts w:ascii="Arial" w:eastAsia="SimSun" w:hAnsi="Arial" w:cs="Arial"/>
          <w:iCs/>
          <w:snapToGrid w:val="0"/>
          <w:sz w:val="20"/>
          <w:szCs w:val="20"/>
          <w:lang w:val="es-ES_tradnl"/>
        </w:rPr>
        <w:t xml:space="preserve"> en </w:t>
      </w:r>
      <w:r w:rsidRPr="00AE30F4">
        <w:rPr>
          <w:rFonts w:ascii="Arial" w:eastAsia="SimSun" w:hAnsi="Arial" w:cs="Arial"/>
          <w:i/>
          <w:snapToGrid w:val="0"/>
          <w:color w:val="FF0000"/>
          <w:sz w:val="20"/>
          <w:szCs w:val="20"/>
          <w:lang w:val="es-ES_tradnl"/>
        </w:rPr>
        <w:t>Lat.,</w:t>
      </w:r>
      <w:r w:rsidRPr="001230A9">
        <w:rPr>
          <w:rFonts w:ascii="Arial" w:eastAsia="SimSun" w:hAnsi="Arial" w:cs="Arial"/>
          <w:i/>
          <w:snapToGrid w:val="0"/>
          <w:sz w:val="20"/>
          <w:szCs w:val="20"/>
          <w:lang w:val="es-ES_tradnl"/>
        </w:rPr>
        <w:t xml:space="preserve"> </w:t>
      </w:r>
      <w:r w:rsidRPr="001230A9">
        <w:rPr>
          <w:rFonts w:ascii="Arial" w:eastAsia="SimSun" w:hAnsi="Arial" w:cs="Arial"/>
          <w:i/>
          <w:snapToGrid w:val="0"/>
          <w:color w:val="FF0000"/>
          <w:sz w:val="20"/>
          <w:szCs w:val="20"/>
          <w:lang w:val="es-ES_tradnl"/>
        </w:rPr>
        <w:t>Long.</w:t>
      </w:r>
      <w:r w:rsidRPr="001230A9">
        <w:rPr>
          <w:rFonts w:ascii="Arial" w:eastAsia="SimSun" w:hAnsi="Arial" w:cs="Arial"/>
          <w:iCs/>
          <w:snapToGrid w:val="0"/>
          <w:sz w:val="20"/>
          <w:szCs w:val="20"/>
          <w:lang w:val="es-ES_tradnl"/>
        </w:rPr>
        <w:t xml:space="preserve"> a una profundidad de </w:t>
      </w:r>
      <w:r w:rsidRPr="001230A9">
        <w:rPr>
          <w:rFonts w:ascii="Arial" w:eastAsia="SimSun" w:hAnsi="Arial" w:cs="Arial"/>
          <w:i/>
          <w:snapToGrid w:val="0"/>
          <w:color w:val="FF0000"/>
          <w:sz w:val="20"/>
          <w:szCs w:val="20"/>
          <w:lang w:val="es-ES_tradnl"/>
        </w:rPr>
        <w:t>X</w:t>
      </w:r>
      <w:r w:rsidR="00BB3967">
        <w:rPr>
          <w:rFonts w:ascii="Arial" w:eastAsia="SimSun" w:hAnsi="Arial" w:cs="Arial"/>
          <w:iCs/>
          <w:snapToGrid w:val="0"/>
          <w:sz w:val="20"/>
          <w:szCs w:val="20"/>
          <w:lang w:val="es-ES_tradnl"/>
        </w:rPr>
        <w:t> </w:t>
      </w:r>
      <w:r w:rsidRPr="001230A9">
        <w:rPr>
          <w:rFonts w:ascii="Arial" w:eastAsia="SimSun" w:hAnsi="Arial" w:cs="Arial"/>
          <w:iCs/>
          <w:snapToGrid w:val="0"/>
          <w:sz w:val="20"/>
          <w:szCs w:val="20"/>
          <w:lang w:val="es-ES_tradnl"/>
        </w:rPr>
        <w:t xml:space="preserve">km, a </w:t>
      </w:r>
      <w:r w:rsidRPr="001230A9">
        <w:rPr>
          <w:rFonts w:ascii="Arial" w:eastAsia="SimSun" w:hAnsi="Arial" w:cs="Arial"/>
          <w:i/>
          <w:snapToGrid w:val="0"/>
          <w:color w:val="FF0000"/>
          <w:sz w:val="20"/>
          <w:szCs w:val="20"/>
          <w:lang w:val="es-ES_tradnl"/>
        </w:rPr>
        <w:t>X</w:t>
      </w:r>
      <w:r w:rsidR="00BB3967">
        <w:rPr>
          <w:rFonts w:ascii="Arial" w:eastAsia="SimSun" w:hAnsi="Arial" w:cs="Arial"/>
          <w:iCs/>
          <w:snapToGrid w:val="0"/>
          <w:sz w:val="20"/>
          <w:szCs w:val="20"/>
          <w:lang w:val="es-ES_tradnl"/>
        </w:rPr>
        <w:t> </w:t>
      </w:r>
      <w:r w:rsidRPr="00AE30F4">
        <w:rPr>
          <w:rFonts w:ascii="Arial" w:eastAsia="SimSun" w:hAnsi="Arial" w:cs="Arial"/>
          <w:b/>
          <w:bCs/>
          <w:iCs/>
          <w:snapToGrid w:val="0"/>
          <w:sz w:val="20"/>
          <w:szCs w:val="20"/>
          <w:lang w:val="es-ES_tradnl"/>
        </w:rPr>
        <w:t xml:space="preserve">km en </w:t>
      </w:r>
      <w:r w:rsidRPr="00AE30F4">
        <w:rPr>
          <w:rFonts w:ascii="Arial" w:eastAsia="SimSun" w:hAnsi="Arial" w:cs="Arial"/>
          <w:b/>
          <w:bCs/>
          <w:i/>
          <w:snapToGrid w:val="0"/>
          <w:color w:val="FF0000"/>
          <w:sz w:val="20"/>
          <w:szCs w:val="20"/>
          <w:lang w:val="es-ES_tradnl"/>
        </w:rPr>
        <w:t>Dirección</w:t>
      </w:r>
      <w:r w:rsidRPr="00AE30F4">
        <w:rPr>
          <w:rFonts w:ascii="Arial" w:eastAsia="SimSun" w:hAnsi="Arial" w:cs="Arial"/>
          <w:b/>
          <w:bCs/>
          <w:iCs/>
          <w:snapToGrid w:val="0"/>
          <w:sz w:val="20"/>
          <w:szCs w:val="20"/>
          <w:lang w:val="es-ES_tradnl"/>
        </w:rPr>
        <w:t xml:space="preserve"> de </w:t>
      </w:r>
      <w:r w:rsidRPr="00AE30F4">
        <w:rPr>
          <w:rFonts w:ascii="Arial" w:eastAsia="SimSun" w:hAnsi="Arial" w:cs="Arial"/>
          <w:b/>
          <w:bCs/>
          <w:i/>
          <w:snapToGrid w:val="0"/>
          <w:color w:val="FF0000"/>
          <w:sz w:val="20"/>
          <w:szCs w:val="20"/>
          <w:lang w:val="es-ES_tradnl"/>
        </w:rPr>
        <w:t>(Lugar)</w:t>
      </w:r>
      <w:r w:rsidRPr="001230A9">
        <w:rPr>
          <w:rFonts w:ascii="Arial" w:eastAsia="SimSun" w:hAnsi="Arial" w:cs="Arial"/>
          <w:iCs/>
          <w:snapToGrid w:val="0"/>
          <w:sz w:val="20"/>
          <w:szCs w:val="20"/>
          <w:lang w:val="es-ES_tradnl"/>
        </w:rPr>
        <w:t xml:space="preserve">. El </w:t>
      </w:r>
      <w:r w:rsidRPr="001230A9">
        <w:rPr>
          <w:rFonts w:ascii="Arial" w:eastAsia="SimSun" w:hAnsi="Arial" w:cs="Arial"/>
          <w:i/>
          <w:snapToGrid w:val="0"/>
          <w:color w:val="FF0000"/>
          <w:sz w:val="20"/>
          <w:szCs w:val="20"/>
          <w:lang w:val="es-ES_tradnl"/>
        </w:rPr>
        <w:t>(NTWC)</w:t>
      </w:r>
      <w:r w:rsidRPr="001230A9">
        <w:rPr>
          <w:rFonts w:ascii="Arial" w:eastAsia="SimSun" w:hAnsi="Arial" w:cs="Arial"/>
          <w:iCs/>
          <w:snapToGrid w:val="0"/>
          <w:sz w:val="20"/>
          <w:szCs w:val="20"/>
          <w:lang w:val="es-ES_tradnl"/>
        </w:rPr>
        <w:t xml:space="preserve"> emitió una alerta de tsunami de </w:t>
      </w:r>
      <w:r w:rsidRPr="001230A9">
        <w:rPr>
          <w:rFonts w:ascii="Arial" w:eastAsia="SimSun" w:hAnsi="Arial" w:cs="Arial"/>
          <w:i/>
          <w:snapToGrid w:val="0"/>
          <w:color w:val="FF0000"/>
          <w:sz w:val="20"/>
          <w:szCs w:val="20"/>
          <w:lang w:val="es-ES_tradnl"/>
        </w:rPr>
        <w:t>(nivel)</w:t>
      </w:r>
      <w:r w:rsidRPr="001230A9">
        <w:rPr>
          <w:rFonts w:ascii="Arial" w:eastAsia="SimSun" w:hAnsi="Arial" w:cs="Arial"/>
          <w:iCs/>
          <w:snapToGrid w:val="0"/>
          <w:sz w:val="20"/>
          <w:szCs w:val="20"/>
          <w:lang w:val="es-ES_tradnl"/>
        </w:rPr>
        <w:t xml:space="preserve"> para </w:t>
      </w:r>
      <w:r w:rsidRPr="001230A9">
        <w:rPr>
          <w:rFonts w:ascii="Arial" w:eastAsia="SimSun" w:hAnsi="Arial" w:cs="Arial"/>
          <w:i/>
          <w:snapToGrid w:val="0"/>
          <w:color w:val="FF0000"/>
          <w:sz w:val="20"/>
          <w:szCs w:val="20"/>
          <w:lang w:val="es-ES_tradnl"/>
        </w:rPr>
        <w:t>(lugar)</w:t>
      </w:r>
      <w:r w:rsidRPr="001230A9">
        <w:rPr>
          <w:rFonts w:ascii="Arial" w:eastAsia="SimSun" w:hAnsi="Arial" w:cs="Arial"/>
          <w:iCs/>
          <w:snapToGrid w:val="0"/>
          <w:sz w:val="20"/>
          <w:szCs w:val="20"/>
          <w:lang w:val="es-ES_tradnl"/>
        </w:rPr>
        <w:t>.</w:t>
      </w:r>
    </w:p>
    <w:p w14:paraId="3B7F830C" w14:textId="5C54D7C6" w:rsidR="001230A9" w:rsidRPr="00631560" w:rsidRDefault="001230A9" w:rsidP="001230A9">
      <w:pPr>
        <w:numPr>
          <w:ilvl w:val="0"/>
          <w:numId w:val="25"/>
        </w:numPr>
        <w:snapToGrid w:val="0"/>
        <w:spacing w:after="240" w:line="240" w:lineRule="auto"/>
        <w:ind w:left="851" w:hanging="284"/>
        <w:jc w:val="both"/>
        <w:rPr>
          <w:rFonts w:ascii="Arial" w:eastAsia="SimSun" w:hAnsi="Arial" w:cs="Arial"/>
          <w:snapToGrid w:val="0"/>
          <w:lang w:val="es-ES_tradnl"/>
        </w:rPr>
      </w:pPr>
      <w:r w:rsidRPr="00631560">
        <w:rPr>
          <w:rFonts w:ascii="Arial" w:hAnsi="Arial" w:cs="Arial"/>
          <w:lang w:val="es-ES_tradnl"/>
        </w:rPr>
        <w:t xml:space="preserve">finalizara el Plan de Ejecución de la Coalición Tsunami Ready, en consulta con el Presidente de la Coalición Tsunami Ready, los asociados de la Coalición, los </w:t>
      </w:r>
      <w:r w:rsidR="006640B8">
        <w:rPr>
          <w:rFonts w:ascii="Arial" w:hAnsi="Arial" w:cs="Arial"/>
          <w:lang w:val="es-ES_tradnl"/>
        </w:rPr>
        <w:t>“</w:t>
      </w:r>
      <w:r w:rsidRPr="00631560">
        <w:rPr>
          <w:rFonts w:ascii="Arial" w:hAnsi="Arial" w:cs="Arial"/>
          <w:lang w:val="es-ES_tradnl"/>
        </w:rPr>
        <w:t>Embajadores</w:t>
      </w:r>
      <w:r w:rsidR="006640B8">
        <w:rPr>
          <w:rFonts w:ascii="Arial" w:hAnsi="Arial" w:cs="Arial"/>
          <w:lang w:val="es-ES_tradnl"/>
        </w:rPr>
        <w:t>”</w:t>
      </w:r>
      <w:r w:rsidRPr="00631560">
        <w:rPr>
          <w:rFonts w:ascii="Arial" w:hAnsi="Arial" w:cs="Arial"/>
          <w:lang w:val="es-ES_tradnl"/>
        </w:rPr>
        <w:t xml:space="preserve"> o agentes asimilados de la Coalición y el Copresidente de la Coalición;</w:t>
      </w:r>
    </w:p>
    <w:p w14:paraId="00B69D2D" w14:textId="1736C100" w:rsidR="00A40455" w:rsidRPr="001230A9" w:rsidRDefault="001230A9" w:rsidP="001230A9">
      <w:pPr>
        <w:numPr>
          <w:ilvl w:val="0"/>
          <w:numId w:val="25"/>
        </w:numPr>
        <w:snapToGrid w:val="0"/>
        <w:spacing w:after="240" w:line="240" w:lineRule="auto"/>
        <w:ind w:left="851" w:hanging="284"/>
        <w:jc w:val="both"/>
        <w:rPr>
          <w:rFonts w:ascii="Arial" w:eastAsia="SimSun" w:hAnsi="Arial" w:cs="Arial"/>
          <w:snapToGrid w:val="0"/>
          <w:lang w:val="es-ES_tradnl"/>
        </w:rPr>
      </w:pPr>
      <w:r w:rsidRPr="00631560">
        <w:rPr>
          <w:rFonts w:ascii="Arial" w:hAnsi="Arial" w:cs="Arial"/>
          <w:lang w:val="es-ES_tradnl"/>
        </w:rPr>
        <w:t xml:space="preserve">cursara invitaciones a los asociados, </w:t>
      </w:r>
      <w:r w:rsidR="006640B8">
        <w:rPr>
          <w:rFonts w:ascii="Arial" w:hAnsi="Arial" w:cs="Arial"/>
          <w:lang w:val="es-ES_tradnl"/>
        </w:rPr>
        <w:t>“</w:t>
      </w:r>
      <w:r w:rsidRPr="00631560">
        <w:rPr>
          <w:rFonts w:ascii="Arial" w:hAnsi="Arial" w:cs="Arial"/>
          <w:lang w:val="es-ES_tradnl"/>
        </w:rPr>
        <w:t>Embajadores</w:t>
      </w:r>
      <w:r w:rsidR="006640B8">
        <w:rPr>
          <w:rFonts w:ascii="Arial" w:hAnsi="Arial" w:cs="Arial"/>
          <w:lang w:val="es-ES_tradnl"/>
        </w:rPr>
        <w:t>”</w:t>
      </w:r>
      <w:r w:rsidRPr="00631560">
        <w:rPr>
          <w:rFonts w:ascii="Arial" w:hAnsi="Arial" w:cs="Arial"/>
          <w:lang w:val="es-ES_tradnl"/>
        </w:rPr>
        <w:t xml:space="preserve"> o agentes asimilados de la Coalición propuestos, y a un Copresidente de la Coalición, y abordara urgentemente la cuestión de los recursos necesarios.</w:t>
      </w:r>
    </w:p>
    <w:p w14:paraId="78B869D0" w14:textId="3D15D469" w:rsidR="00A40455" w:rsidRPr="001230A9" w:rsidRDefault="001230A9" w:rsidP="00A40455">
      <w:pPr>
        <w:tabs>
          <w:tab w:val="left" w:pos="709"/>
        </w:tabs>
        <w:snapToGrid w:val="0"/>
        <w:spacing w:after="240" w:line="240" w:lineRule="auto"/>
        <w:jc w:val="both"/>
        <w:rPr>
          <w:rFonts w:ascii="Arial" w:eastAsia="DengXian" w:hAnsi="Arial" w:cs="Arial"/>
          <w:lang w:val="es-ES_tradnl"/>
        </w:rPr>
      </w:pPr>
      <w:r w:rsidRPr="00631560">
        <w:rPr>
          <w:rFonts w:ascii="Arial" w:hAnsi="Arial" w:cs="Arial"/>
          <w:b/>
          <w:bCs/>
          <w:lang w:val="es-ES_tradnl"/>
        </w:rPr>
        <w:lastRenderedPageBreak/>
        <w:t>El Grupo recomendó también</w:t>
      </w:r>
      <w:r w:rsidRPr="00631560">
        <w:rPr>
          <w:rFonts w:ascii="Arial" w:hAnsi="Arial" w:cs="Arial"/>
          <w:lang w:val="es-ES_tradnl"/>
        </w:rPr>
        <w:t xml:space="preserve"> a la Asamblea de la COI que, en su 33ª reunión (2025), prorrogara el mandato del TT-DMP y el TT-TWO, y recomendó que se aprobara el mandato actualizado del Equipo de Tareas sobre la Gestión y Preparación en caso de Desastres relacionados con Tsunamis que figura en el </w:t>
      </w:r>
      <w:r w:rsidRPr="00631560">
        <w:rPr>
          <w:rFonts w:ascii="Arial" w:hAnsi="Arial" w:cs="Arial"/>
          <w:b/>
          <w:bCs/>
          <w:lang w:val="es-ES_tradnl"/>
        </w:rPr>
        <w:t>apéndice 1</w:t>
      </w:r>
      <w:r w:rsidRPr="00631560">
        <w:rPr>
          <w:rFonts w:ascii="Arial" w:hAnsi="Arial" w:cs="Arial"/>
          <w:lang w:val="es-ES_tradnl"/>
        </w:rPr>
        <w:t>.</w:t>
      </w:r>
    </w:p>
    <w:sectPr w:rsidR="00A40455" w:rsidRPr="001230A9" w:rsidSect="00E14488">
      <w:headerReference w:type="even" r:id="rId17"/>
      <w:headerReference w:type="default" r:id="rId18"/>
      <w:headerReference w:type="first" r:id="rId19"/>
      <w:pgSz w:w="11906" w:h="16838" w:code="9"/>
      <w:pgMar w:top="1418" w:right="1418" w:bottom="1418" w:left="1418" w:header="68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9B2FB" w14:textId="77777777" w:rsidR="001E395D" w:rsidRDefault="001E395D" w:rsidP="00737EF6">
      <w:pPr>
        <w:spacing w:after="0" w:line="240" w:lineRule="auto"/>
      </w:pPr>
      <w:r>
        <w:separator/>
      </w:r>
    </w:p>
  </w:endnote>
  <w:endnote w:type="continuationSeparator" w:id="0">
    <w:p w14:paraId="631761F8" w14:textId="77777777" w:rsidR="001E395D" w:rsidRDefault="001E395D" w:rsidP="00737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Times New Roman"/>
    <w:charset w:val="00"/>
    <w:family w:val="auto"/>
    <w:pitch w:val="default"/>
  </w:font>
  <w:font w:name="Times">
    <w:panose1 w:val="02020603050405020304"/>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29EC5" w14:textId="77777777" w:rsidR="001E395D" w:rsidRDefault="001E395D" w:rsidP="00737EF6">
      <w:pPr>
        <w:spacing w:after="0" w:line="240" w:lineRule="auto"/>
      </w:pPr>
      <w:r>
        <w:separator/>
      </w:r>
    </w:p>
  </w:footnote>
  <w:footnote w:type="continuationSeparator" w:id="0">
    <w:p w14:paraId="066B3AC9" w14:textId="77777777" w:rsidR="001E395D" w:rsidRDefault="001E395D" w:rsidP="00737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459AF" w14:textId="77777777" w:rsidR="00E14488" w:rsidRPr="00E14488" w:rsidRDefault="00E14488" w:rsidP="00E14488">
    <w:pPr>
      <w:pStyle w:val="Header"/>
      <w:jc w:val="both"/>
      <w:rPr>
        <w:rFonts w:ascii="Arial" w:hAnsi="Arial" w:cs="Arial"/>
        <w:lang w:val="en-US"/>
      </w:rPr>
    </w:pPr>
    <w:r w:rsidRPr="00E14488">
      <w:rPr>
        <w:rFonts w:ascii="Arial" w:hAnsi="Arial" w:cs="Arial"/>
        <w:lang w:val="en-US"/>
      </w:rPr>
      <w:t>IOC/TOWS-WG-XVIII</w:t>
    </w:r>
  </w:p>
  <w:p w14:paraId="0B4BF6F5" w14:textId="109DEE46" w:rsidR="008D0515" w:rsidRPr="00E14488" w:rsidRDefault="00E14488" w:rsidP="00E14488">
    <w:pPr>
      <w:rPr>
        <w:lang w:val="en-US"/>
      </w:rPr>
    </w:pPr>
    <w:proofErr w:type="spellStart"/>
    <w:r w:rsidRPr="00E14488">
      <w:rPr>
        <w:rFonts w:ascii="Arial" w:hAnsi="Arial" w:cs="Arial"/>
        <w:lang w:val="en-US"/>
      </w:rPr>
      <w:t>Ex.Sum</w:t>
    </w:r>
    <w:proofErr w:type="spellEnd"/>
    <w:r w:rsidR="0030792A" w:rsidRPr="00E14488">
      <w:rPr>
        <w:rFonts w:ascii="Arial" w:hAnsi="Arial" w:cs="Arial"/>
        <w:lang w:val="en-US"/>
      </w:rPr>
      <w:t xml:space="preserve"> </w:t>
    </w:r>
    <w:r w:rsidR="0030792A" w:rsidRPr="00E14488">
      <w:rPr>
        <w:rFonts w:ascii="Arial" w:hAnsi="Arial" w:cs="Arial"/>
        <w:lang w:val="da-DK"/>
      </w:rPr>
      <w:t xml:space="preserve">– </w:t>
    </w:r>
    <w:r w:rsidR="001230A9">
      <w:rPr>
        <w:rFonts w:ascii="Arial" w:hAnsi="Arial" w:cs="Arial"/>
        <w:lang w:val="da-DK"/>
      </w:rPr>
      <w:t>pág.</w:t>
    </w:r>
    <w:r w:rsidR="0030792A" w:rsidRPr="00E14488">
      <w:rPr>
        <w:rFonts w:ascii="Arial" w:hAnsi="Arial" w:cs="Arial"/>
        <w:lang w:val="da-DK"/>
      </w:rPr>
      <w:t xml:space="preserve"> </w:t>
    </w:r>
    <w:r w:rsidR="0030792A" w:rsidRPr="00E14488">
      <w:rPr>
        <w:rFonts w:ascii="Arial" w:hAnsi="Arial" w:cs="Arial"/>
        <w:lang w:val="en-US"/>
      </w:rPr>
      <w:fldChar w:fldCharType="begin"/>
    </w:r>
    <w:r w:rsidR="0030792A" w:rsidRPr="00E14488">
      <w:rPr>
        <w:rFonts w:ascii="Arial" w:hAnsi="Arial" w:cs="Arial"/>
        <w:lang w:val="en-US"/>
      </w:rPr>
      <w:instrText xml:space="preserve"> PAGE   \* MERGEFORMAT </w:instrText>
    </w:r>
    <w:r w:rsidR="0030792A" w:rsidRPr="00E14488">
      <w:rPr>
        <w:rFonts w:ascii="Arial" w:hAnsi="Arial" w:cs="Arial"/>
        <w:lang w:val="en-US"/>
      </w:rPr>
      <w:fldChar w:fldCharType="separate"/>
    </w:r>
    <w:r w:rsidR="0030792A" w:rsidRPr="00E14488">
      <w:rPr>
        <w:rFonts w:ascii="Arial" w:hAnsi="Arial" w:cs="Arial"/>
        <w:noProof/>
        <w:lang w:val="en-US"/>
      </w:rPr>
      <w:t>2</w:t>
    </w:r>
    <w:r w:rsidR="0030792A" w:rsidRPr="00E14488">
      <w:rPr>
        <w:rFonts w:ascii="Arial" w:hAnsi="Arial" w:cs="Arial"/>
        <w:noProof/>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4167C" w14:textId="77777777" w:rsidR="00E14488" w:rsidRPr="00E14488" w:rsidRDefault="00E14488" w:rsidP="00E14488">
    <w:pPr>
      <w:pStyle w:val="Header"/>
      <w:ind w:left="6946"/>
      <w:rPr>
        <w:rFonts w:ascii="Arial" w:hAnsi="Arial" w:cs="Arial"/>
        <w:sz w:val="20"/>
        <w:szCs w:val="20"/>
        <w:lang w:val="en-US"/>
      </w:rPr>
    </w:pPr>
    <w:r w:rsidRPr="00E14488">
      <w:rPr>
        <w:rFonts w:ascii="Arial" w:hAnsi="Arial" w:cs="Arial"/>
        <w:lang w:val="en-US"/>
      </w:rPr>
      <w:t>IOC/TOWS-WG-XVIII</w:t>
    </w:r>
  </w:p>
  <w:p w14:paraId="063E9503" w14:textId="158BCE12" w:rsidR="008D0515" w:rsidRPr="0084325B" w:rsidRDefault="00E14488" w:rsidP="00E14488">
    <w:pPr>
      <w:pStyle w:val="Header"/>
      <w:ind w:left="6946"/>
      <w:rPr>
        <w:rFonts w:ascii="Arial" w:hAnsi="Arial" w:cs="Arial"/>
        <w:noProof/>
        <w:sz w:val="20"/>
        <w:szCs w:val="20"/>
        <w:lang w:val="en-US"/>
      </w:rPr>
    </w:pPr>
    <w:proofErr w:type="spellStart"/>
    <w:r w:rsidRPr="00E14488">
      <w:rPr>
        <w:rFonts w:ascii="Arial" w:hAnsi="Arial" w:cs="Arial"/>
        <w:lang w:val="en-US"/>
      </w:rPr>
      <w:t>Ex.Sum</w:t>
    </w:r>
    <w:proofErr w:type="spellEnd"/>
    <w:r w:rsidRPr="00E14488">
      <w:rPr>
        <w:rFonts w:ascii="Arial" w:hAnsi="Arial" w:cs="Arial"/>
        <w:lang w:val="en-US"/>
      </w:rPr>
      <w:t> – </w:t>
    </w:r>
    <w:proofErr w:type="spellStart"/>
    <w:r w:rsidRPr="00E14488">
      <w:rPr>
        <w:rFonts w:ascii="Arial" w:hAnsi="Arial" w:cs="Arial"/>
        <w:lang w:val="en-US"/>
      </w:rPr>
      <w:t>p</w:t>
    </w:r>
    <w:r w:rsidR="001230A9">
      <w:rPr>
        <w:rFonts w:ascii="Arial" w:hAnsi="Arial" w:cs="Arial"/>
        <w:lang w:val="en-US"/>
      </w:rPr>
      <w:t>ág</w:t>
    </w:r>
    <w:proofErr w:type="spellEnd"/>
    <w:r w:rsidR="001230A9">
      <w:rPr>
        <w:rFonts w:ascii="Arial" w:hAnsi="Arial" w:cs="Arial"/>
        <w:lang w:val="en-US"/>
      </w:rPr>
      <w:t>.</w:t>
    </w:r>
    <w:r>
      <w:rPr>
        <w:rFonts w:ascii="Arial" w:hAnsi="Arial" w:cs="Arial"/>
        <w:lang w:val="en-US"/>
      </w:rPr>
      <w:t xml:space="preserve"> </w:t>
    </w:r>
    <w:r w:rsidRPr="00E14488">
      <w:rPr>
        <w:rFonts w:ascii="Arial" w:hAnsi="Arial" w:cs="Arial"/>
        <w:lang w:val="en-US"/>
      </w:rPr>
      <w:fldChar w:fldCharType="begin"/>
    </w:r>
    <w:r w:rsidRPr="00E14488">
      <w:rPr>
        <w:rFonts w:ascii="Arial" w:hAnsi="Arial" w:cs="Arial"/>
        <w:lang w:val="en-US"/>
      </w:rPr>
      <w:instrText>PAGE   \* MERGEFORMAT</w:instrText>
    </w:r>
    <w:r w:rsidRPr="00E14488">
      <w:rPr>
        <w:rFonts w:ascii="Arial" w:hAnsi="Arial" w:cs="Arial"/>
        <w:lang w:val="en-US"/>
      </w:rPr>
      <w:fldChar w:fldCharType="separate"/>
    </w:r>
    <w:r w:rsidRPr="00E14488">
      <w:rPr>
        <w:rFonts w:ascii="Arial" w:hAnsi="Arial" w:cs="Arial"/>
        <w:lang w:val="en-US"/>
      </w:rPr>
      <w:t>1</w:t>
    </w:r>
    <w:r w:rsidRPr="00E14488">
      <w:rPr>
        <w:rFonts w:ascii="Arial" w:hAnsi="Arial" w:cs="Arial"/>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D63C4" w14:textId="77777777" w:rsidR="008D0515" w:rsidRPr="00E14488" w:rsidRDefault="0030792A" w:rsidP="00EC419E">
    <w:pPr>
      <w:pStyle w:val="Header"/>
      <w:ind w:left="6946"/>
      <w:rPr>
        <w:rFonts w:ascii="Arial" w:hAnsi="Arial" w:cs="Arial"/>
        <w:sz w:val="20"/>
        <w:szCs w:val="20"/>
        <w:lang w:val="en-US"/>
      </w:rPr>
    </w:pPr>
    <w:r w:rsidRPr="00E14488">
      <w:rPr>
        <w:rFonts w:ascii="Arial" w:hAnsi="Arial" w:cs="Arial"/>
        <w:lang w:val="en-US"/>
      </w:rPr>
      <w:t>IOC/TOWS-WG-XVIII</w:t>
    </w:r>
  </w:p>
  <w:p w14:paraId="637FD5F7" w14:textId="1F189A83" w:rsidR="008D0515" w:rsidRPr="00E14488" w:rsidRDefault="001312C4" w:rsidP="00E14488">
    <w:pPr>
      <w:pStyle w:val="Header"/>
      <w:ind w:left="6946"/>
      <w:rPr>
        <w:rFonts w:ascii="Arial" w:hAnsi="Arial" w:cs="Arial"/>
        <w:sz w:val="20"/>
        <w:szCs w:val="20"/>
        <w:lang w:val="en-US"/>
      </w:rPr>
    </w:pPr>
    <w:proofErr w:type="spellStart"/>
    <w:r w:rsidRPr="00E14488">
      <w:rPr>
        <w:rFonts w:ascii="Arial" w:hAnsi="Arial" w:cs="Arial"/>
        <w:lang w:val="en-US"/>
      </w:rPr>
      <w:t>Ex.Sum</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81209"/>
    <w:multiLevelType w:val="hybridMultilevel"/>
    <w:tmpl w:val="2B7A700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 w15:restartNumberingAfterBreak="0">
    <w:nsid w:val="17793DFB"/>
    <w:multiLevelType w:val="hybridMultilevel"/>
    <w:tmpl w:val="A680EC52"/>
    <w:lvl w:ilvl="0" w:tplc="57806148">
      <w:start w:val="2"/>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2B5744"/>
    <w:multiLevelType w:val="singleLevel"/>
    <w:tmpl w:val="4ED6F432"/>
    <w:lvl w:ilvl="0">
      <w:start w:val="1"/>
      <w:numFmt w:val="lowerLetter"/>
      <w:lvlText w:val="%1)"/>
      <w:legacy w:legacy="1" w:legacySpace="113" w:legacyIndent="567"/>
      <w:lvlJc w:val="left"/>
      <w:pPr>
        <w:ind w:left="1248" w:hanging="567"/>
      </w:pPr>
    </w:lvl>
  </w:abstractNum>
  <w:abstractNum w:abstractNumId="3" w15:restartNumberingAfterBreak="0">
    <w:nsid w:val="1D63184D"/>
    <w:multiLevelType w:val="multilevel"/>
    <w:tmpl w:val="69625774"/>
    <w:lvl w:ilvl="0">
      <w:start w:val="1"/>
      <w:numFmt w:val="lowerLetter"/>
      <w:lvlText w:val="(%1)"/>
      <w:lvlJc w:val="left"/>
      <w:pPr>
        <w:tabs>
          <w:tab w:val="num" w:pos="567"/>
        </w:tabs>
        <w:ind w:left="567" w:hanging="567"/>
      </w:pPr>
      <w:rPr>
        <w:rFonts w:hint="default"/>
      </w:rPr>
    </w:lvl>
    <w:lvl w:ilvl="1">
      <w:start w:val="2"/>
      <w:numFmt w:val="decimal"/>
      <w:lvlText w:val="%2)"/>
      <w:lvlJc w:val="left"/>
      <w:pPr>
        <w:tabs>
          <w:tab w:val="num" w:pos="1440"/>
        </w:tabs>
        <w:ind w:left="1440" w:hanging="360"/>
      </w:pPr>
      <w:rPr>
        <w:rFonts w:hint="default"/>
      </w:rPr>
    </w:lvl>
    <w:lvl w:ilvl="2">
      <w:start w:val="2"/>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26D61B7F"/>
    <w:multiLevelType w:val="hybridMultilevel"/>
    <w:tmpl w:val="3C420A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454906"/>
    <w:multiLevelType w:val="hybridMultilevel"/>
    <w:tmpl w:val="6CB86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0D3866"/>
    <w:multiLevelType w:val="hybridMultilevel"/>
    <w:tmpl w:val="57FE47EC"/>
    <w:lvl w:ilvl="0" w:tplc="332EEF7E">
      <w:start w:val="31"/>
      <w:numFmt w:val="bullet"/>
      <w:lvlText w:val="-"/>
      <w:lvlJc w:val="left"/>
      <w:pPr>
        <w:ind w:left="720" w:hanging="360"/>
      </w:pPr>
      <w:rPr>
        <w:rFonts w:ascii="Arial" w:eastAsia="SimSu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3D5B3B"/>
    <w:multiLevelType w:val="multilevel"/>
    <w:tmpl w:val="5F64E282"/>
    <w:lvl w:ilvl="0">
      <w:numFmt w:val="bullet"/>
      <w:lvlText w:val="-"/>
      <w:lvlJc w:val="left"/>
      <w:pPr>
        <w:ind w:left="1080" w:hanging="360"/>
      </w:pPr>
      <w:rPr>
        <w:rFonts w:ascii="Times New Roman" w:eastAsia="Times New Roman" w:hAnsi="Times New Roman" w:cs="Times New Roman" w:hint="default"/>
        <w:b w:val="0"/>
        <w:bCs w:val="0"/>
        <w:i w:val="0"/>
        <w:iCs w:val="0"/>
        <w:w w:val="100"/>
        <w:sz w:val="22"/>
        <w:szCs w:val="22"/>
        <w:lang w:val="en-US" w:eastAsia="en-US" w:bidi="ar-SA"/>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37FC08C2"/>
    <w:multiLevelType w:val="hybridMultilevel"/>
    <w:tmpl w:val="47469484"/>
    <w:lvl w:ilvl="0" w:tplc="F79CC190">
      <w:start w:val="1"/>
      <w:numFmt w:val="lowerRoman"/>
      <w:lvlText w:val="%1."/>
      <w:lvlJc w:val="right"/>
      <w:pPr>
        <w:tabs>
          <w:tab w:val="num" w:pos="720"/>
        </w:tabs>
        <w:ind w:left="720" w:hanging="360"/>
      </w:pPr>
    </w:lvl>
    <w:lvl w:ilvl="1" w:tplc="361052FE" w:tentative="1">
      <w:start w:val="1"/>
      <w:numFmt w:val="lowerRoman"/>
      <w:lvlText w:val="%2."/>
      <w:lvlJc w:val="right"/>
      <w:pPr>
        <w:tabs>
          <w:tab w:val="num" w:pos="1440"/>
        </w:tabs>
        <w:ind w:left="1440" w:hanging="360"/>
      </w:pPr>
    </w:lvl>
    <w:lvl w:ilvl="2" w:tplc="465EF9C8" w:tentative="1">
      <w:start w:val="1"/>
      <w:numFmt w:val="lowerRoman"/>
      <w:lvlText w:val="%3."/>
      <w:lvlJc w:val="right"/>
      <w:pPr>
        <w:tabs>
          <w:tab w:val="num" w:pos="2160"/>
        </w:tabs>
        <w:ind w:left="2160" w:hanging="360"/>
      </w:pPr>
    </w:lvl>
    <w:lvl w:ilvl="3" w:tplc="30266DD4" w:tentative="1">
      <w:start w:val="1"/>
      <w:numFmt w:val="lowerRoman"/>
      <w:lvlText w:val="%4."/>
      <w:lvlJc w:val="right"/>
      <w:pPr>
        <w:tabs>
          <w:tab w:val="num" w:pos="2880"/>
        </w:tabs>
        <w:ind w:left="2880" w:hanging="360"/>
      </w:pPr>
    </w:lvl>
    <w:lvl w:ilvl="4" w:tplc="CC6E3D8A" w:tentative="1">
      <w:start w:val="1"/>
      <w:numFmt w:val="lowerRoman"/>
      <w:lvlText w:val="%5."/>
      <w:lvlJc w:val="right"/>
      <w:pPr>
        <w:tabs>
          <w:tab w:val="num" w:pos="3600"/>
        </w:tabs>
        <w:ind w:left="3600" w:hanging="360"/>
      </w:pPr>
    </w:lvl>
    <w:lvl w:ilvl="5" w:tplc="5A666302" w:tentative="1">
      <w:start w:val="1"/>
      <w:numFmt w:val="lowerRoman"/>
      <w:lvlText w:val="%6."/>
      <w:lvlJc w:val="right"/>
      <w:pPr>
        <w:tabs>
          <w:tab w:val="num" w:pos="4320"/>
        </w:tabs>
        <w:ind w:left="4320" w:hanging="360"/>
      </w:pPr>
    </w:lvl>
    <w:lvl w:ilvl="6" w:tplc="9D2AD670" w:tentative="1">
      <w:start w:val="1"/>
      <w:numFmt w:val="lowerRoman"/>
      <w:lvlText w:val="%7."/>
      <w:lvlJc w:val="right"/>
      <w:pPr>
        <w:tabs>
          <w:tab w:val="num" w:pos="5040"/>
        </w:tabs>
        <w:ind w:left="5040" w:hanging="360"/>
      </w:pPr>
    </w:lvl>
    <w:lvl w:ilvl="7" w:tplc="37808E64" w:tentative="1">
      <w:start w:val="1"/>
      <w:numFmt w:val="lowerRoman"/>
      <w:lvlText w:val="%8."/>
      <w:lvlJc w:val="right"/>
      <w:pPr>
        <w:tabs>
          <w:tab w:val="num" w:pos="5760"/>
        </w:tabs>
        <w:ind w:left="5760" w:hanging="360"/>
      </w:pPr>
    </w:lvl>
    <w:lvl w:ilvl="8" w:tplc="39C49CF2" w:tentative="1">
      <w:start w:val="1"/>
      <w:numFmt w:val="lowerRoman"/>
      <w:lvlText w:val="%9."/>
      <w:lvlJc w:val="right"/>
      <w:pPr>
        <w:tabs>
          <w:tab w:val="num" w:pos="6480"/>
        </w:tabs>
        <w:ind w:left="6480" w:hanging="360"/>
      </w:pPr>
    </w:lvl>
  </w:abstractNum>
  <w:abstractNum w:abstractNumId="9" w15:restartNumberingAfterBreak="0">
    <w:nsid w:val="39BA63A9"/>
    <w:multiLevelType w:val="hybridMultilevel"/>
    <w:tmpl w:val="AAEA7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2D1C85"/>
    <w:multiLevelType w:val="hybridMultilevel"/>
    <w:tmpl w:val="7FEC0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034502"/>
    <w:multiLevelType w:val="hybridMultilevel"/>
    <w:tmpl w:val="613811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7502A7"/>
    <w:multiLevelType w:val="hybridMultilevel"/>
    <w:tmpl w:val="51EE8688"/>
    <w:lvl w:ilvl="0" w:tplc="2B0CE24C">
      <w:start w:val="1"/>
      <w:numFmt w:val="bullet"/>
      <w:lvlText w:val="-"/>
      <w:lvlJc w:val="left"/>
      <w:pPr>
        <w:tabs>
          <w:tab w:val="num" w:pos="1080"/>
        </w:tabs>
        <w:ind w:left="1080" w:hanging="360"/>
      </w:pPr>
      <w:rPr>
        <w:rFonts w:ascii="Arial" w:eastAsia="Times New Roman" w:hAnsi="Arial" w:cs="Arial" w:hint="default"/>
      </w:rPr>
    </w:lvl>
    <w:lvl w:ilvl="1" w:tplc="FFFFFFFF" w:tentative="1">
      <w:start w:val="1"/>
      <w:numFmt w:val="lowerLetter"/>
      <w:lvlText w:val="%2)"/>
      <w:lvlJc w:val="left"/>
      <w:pPr>
        <w:tabs>
          <w:tab w:val="num" w:pos="1800"/>
        </w:tabs>
        <w:ind w:left="1800" w:hanging="360"/>
      </w:pPr>
    </w:lvl>
    <w:lvl w:ilvl="2" w:tplc="FFFFFFFF" w:tentative="1">
      <w:start w:val="1"/>
      <w:numFmt w:val="lowerLetter"/>
      <w:lvlText w:val="%3)"/>
      <w:lvlJc w:val="left"/>
      <w:pPr>
        <w:tabs>
          <w:tab w:val="num" w:pos="2520"/>
        </w:tabs>
        <w:ind w:left="2520" w:hanging="360"/>
      </w:pPr>
    </w:lvl>
    <w:lvl w:ilvl="3" w:tplc="FFFFFFFF" w:tentative="1">
      <w:start w:val="1"/>
      <w:numFmt w:val="lowerLetter"/>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Letter"/>
      <w:lvlText w:val="%6)"/>
      <w:lvlJc w:val="left"/>
      <w:pPr>
        <w:tabs>
          <w:tab w:val="num" w:pos="4680"/>
        </w:tabs>
        <w:ind w:left="4680" w:hanging="360"/>
      </w:pPr>
    </w:lvl>
    <w:lvl w:ilvl="6" w:tplc="FFFFFFFF" w:tentative="1">
      <w:start w:val="1"/>
      <w:numFmt w:val="lowerLetter"/>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Letter"/>
      <w:lvlText w:val="%9)"/>
      <w:lvlJc w:val="left"/>
      <w:pPr>
        <w:tabs>
          <w:tab w:val="num" w:pos="6840"/>
        </w:tabs>
        <w:ind w:left="6840" w:hanging="360"/>
      </w:pPr>
    </w:lvl>
  </w:abstractNum>
  <w:abstractNum w:abstractNumId="13" w15:restartNumberingAfterBreak="0">
    <w:nsid w:val="48BA3A62"/>
    <w:multiLevelType w:val="multilevel"/>
    <w:tmpl w:val="E78C9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F7702F"/>
    <w:multiLevelType w:val="hybridMultilevel"/>
    <w:tmpl w:val="37147F9A"/>
    <w:lvl w:ilvl="0" w:tplc="57806148">
      <w:start w:val="2"/>
      <w:numFmt w:val="bullet"/>
      <w:lvlText w:val="-"/>
      <w:lvlJc w:val="left"/>
      <w:pPr>
        <w:ind w:left="783" w:hanging="360"/>
      </w:pPr>
      <w:rPr>
        <w:rFonts w:ascii="Times New Roman" w:eastAsiaTheme="minorHAnsi" w:hAnsi="Times New Roman" w:cs="Times New Roman"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4D13261A"/>
    <w:multiLevelType w:val="hybridMultilevel"/>
    <w:tmpl w:val="CBF4E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8E5292"/>
    <w:multiLevelType w:val="hybridMultilevel"/>
    <w:tmpl w:val="EF5C2F06"/>
    <w:lvl w:ilvl="0" w:tplc="6A76A9DC">
      <w:numFmt w:val="bullet"/>
      <w:lvlText w:val=""/>
      <w:lvlJc w:val="left"/>
      <w:pPr>
        <w:ind w:left="120" w:hanging="360"/>
      </w:pPr>
      <w:rPr>
        <w:rFonts w:ascii="Symbol" w:eastAsia="Symbol" w:hAnsi="Symbol" w:cs="Symbol" w:hint="default"/>
        <w:w w:val="100"/>
        <w:sz w:val="24"/>
        <w:szCs w:val="24"/>
      </w:rPr>
    </w:lvl>
    <w:lvl w:ilvl="1" w:tplc="EE945CC4">
      <w:numFmt w:val="bullet"/>
      <w:lvlText w:val="•"/>
      <w:lvlJc w:val="left"/>
      <w:pPr>
        <w:ind w:left="1034" w:hanging="360"/>
      </w:pPr>
      <w:rPr>
        <w:rFonts w:hint="default"/>
      </w:rPr>
    </w:lvl>
    <w:lvl w:ilvl="2" w:tplc="4C6AEDE2">
      <w:numFmt w:val="bullet"/>
      <w:lvlText w:val="•"/>
      <w:lvlJc w:val="left"/>
      <w:pPr>
        <w:ind w:left="1949" w:hanging="360"/>
      </w:pPr>
      <w:rPr>
        <w:rFonts w:hint="default"/>
      </w:rPr>
    </w:lvl>
    <w:lvl w:ilvl="3" w:tplc="A85C6340">
      <w:numFmt w:val="bullet"/>
      <w:lvlText w:val="•"/>
      <w:lvlJc w:val="left"/>
      <w:pPr>
        <w:ind w:left="2863" w:hanging="360"/>
      </w:pPr>
      <w:rPr>
        <w:rFonts w:hint="default"/>
      </w:rPr>
    </w:lvl>
    <w:lvl w:ilvl="4" w:tplc="FAC63890">
      <w:numFmt w:val="bullet"/>
      <w:lvlText w:val="•"/>
      <w:lvlJc w:val="left"/>
      <w:pPr>
        <w:ind w:left="3778" w:hanging="360"/>
      </w:pPr>
      <w:rPr>
        <w:rFonts w:hint="default"/>
      </w:rPr>
    </w:lvl>
    <w:lvl w:ilvl="5" w:tplc="33884088">
      <w:numFmt w:val="bullet"/>
      <w:lvlText w:val="•"/>
      <w:lvlJc w:val="left"/>
      <w:pPr>
        <w:ind w:left="4693" w:hanging="360"/>
      </w:pPr>
      <w:rPr>
        <w:rFonts w:hint="default"/>
      </w:rPr>
    </w:lvl>
    <w:lvl w:ilvl="6" w:tplc="0C92B328">
      <w:numFmt w:val="bullet"/>
      <w:lvlText w:val="•"/>
      <w:lvlJc w:val="left"/>
      <w:pPr>
        <w:ind w:left="5607" w:hanging="360"/>
      </w:pPr>
      <w:rPr>
        <w:rFonts w:hint="default"/>
      </w:rPr>
    </w:lvl>
    <w:lvl w:ilvl="7" w:tplc="ABD472FA">
      <w:numFmt w:val="bullet"/>
      <w:lvlText w:val="•"/>
      <w:lvlJc w:val="left"/>
      <w:pPr>
        <w:ind w:left="6522" w:hanging="360"/>
      </w:pPr>
      <w:rPr>
        <w:rFonts w:hint="default"/>
      </w:rPr>
    </w:lvl>
    <w:lvl w:ilvl="8" w:tplc="449450A4">
      <w:numFmt w:val="bullet"/>
      <w:lvlText w:val="•"/>
      <w:lvlJc w:val="left"/>
      <w:pPr>
        <w:ind w:left="7437" w:hanging="360"/>
      </w:pPr>
      <w:rPr>
        <w:rFonts w:hint="default"/>
      </w:rPr>
    </w:lvl>
  </w:abstractNum>
  <w:abstractNum w:abstractNumId="17" w15:restartNumberingAfterBreak="0">
    <w:nsid w:val="4FCB584B"/>
    <w:multiLevelType w:val="hybridMultilevel"/>
    <w:tmpl w:val="09427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370BA2"/>
    <w:multiLevelType w:val="hybridMultilevel"/>
    <w:tmpl w:val="F9027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C856B9"/>
    <w:multiLevelType w:val="hybridMultilevel"/>
    <w:tmpl w:val="4F8ABAF0"/>
    <w:lvl w:ilvl="0" w:tplc="32AC4466">
      <w:start w:val="1"/>
      <w:numFmt w:val="lowerRoman"/>
      <w:lvlText w:val="(%1)"/>
      <w:lvlJc w:val="left"/>
      <w:pPr>
        <w:tabs>
          <w:tab w:val="num" w:pos="1440"/>
        </w:tabs>
        <w:ind w:left="1440" w:hanging="720"/>
      </w:pPr>
      <w:rPr>
        <w:rFonts w:ascii="Arial" w:eastAsia="Times New Roman" w:hAnsi="Arial" w:cs="Times" w:hint="default"/>
      </w:rPr>
    </w:lvl>
    <w:lvl w:ilvl="1" w:tplc="850CB132">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56D6B6C"/>
    <w:multiLevelType w:val="hybridMultilevel"/>
    <w:tmpl w:val="A8FE8248"/>
    <w:lvl w:ilvl="0" w:tplc="72AA4670">
      <w:start w:val="1"/>
      <w:numFmt w:val="bullet"/>
      <w:lvlText w:val="•"/>
      <w:lvlJc w:val="left"/>
      <w:pPr>
        <w:tabs>
          <w:tab w:val="num" w:pos="720"/>
        </w:tabs>
        <w:ind w:left="720" w:hanging="360"/>
      </w:pPr>
      <w:rPr>
        <w:rFonts w:ascii="Arial" w:hAnsi="Arial" w:hint="default"/>
      </w:rPr>
    </w:lvl>
    <w:lvl w:ilvl="1" w:tplc="83B66524" w:tentative="1">
      <w:start w:val="1"/>
      <w:numFmt w:val="bullet"/>
      <w:lvlText w:val="•"/>
      <w:lvlJc w:val="left"/>
      <w:pPr>
        <w:tabs>
          <w:tab w:val="num" w:pos="1440"/>
        </w:tabs>
        <w:ind w:left="1440" w:hanging="360"/>
      </w:pPr>
      <w:rPr>
        <w:rFonts w:ascii="Arial" w:hAnsi="Arial" w:hint="default"/>
      </w:rPr>
    </w:lvl>
    <w:lvl w:ilvl="2" w:tplc="8B72FC96" w:tentative="1">
      <w:start w:val="1"/>
      <w:numFmt w:val="bullet"/>
      <w:lvlText w:val="•"/>
      <w:lvlJc w:val="left"/>
      <w:pPr>
        <w:tabs>
          <w:tab w:val="num" w:pos="2160"/>
        </w:tabs>
        <w:ind w:left="2160" w:hanging="360"/>
      </w:pPr>
      <w:rPr>
        <w:rFonts w:ascii="Arial" w:hAnsi="Arial" w:hint="default"/>
      </w:rPr>
    </w:lvl>
    <w:lvl w:ilvl="3" w:tplc="9C96D374" w:tentative="1">
      <w:start w:val="1"/>
      <w:numFmt w:val="bullet"/>
      <w:lvlText w:val="•"/>
      <w:lvlJc w:val="left"/>
      <w:pPr>
        <w:tabs>
          <w:tab w:val="num" w:pos="2880"/>
        </w:tabs>
        <w:ind w:left="2880" w:hanging="360"/>
      </w:pPr>
      <w:rPr>
        <w:rFonts w:ascii="Arial" w:hAnsi="Arial" w:hint="default"/>
      </w:rPr>
    </w:lvl>
    <w:lvl w:ilvl="4" w:tplc="9FEA3B9E" w:tentative="1">
      <w:start w:val="1"/>
      <w:numFmt w:val="bullet"/>
      <w:lvlText w:val="•"/>
      <w:lvlJc w:val="left"/>
      <w:pPr>
        <w:tabs>
          <w:tab w:val="num" w:pos="3600"/>
        </w:tabs>
        <w:ind w:left="3600" w:hanging="360"/>
      </w:pPr>
      <w:rPr>
        <w:rFonts w:ascii="Arial" w:hAnsi="Arial" w:hint="default"/>
      </w:rPr>
    </w:lvl>
    <w:lvl w:ilvl="5" w:tplc="AB5696DC" w:tentative="1">
      <w:start w:val="1"/>
      <w:numFmt w:val="bullet"/>
      <w:lvlText w:val="•"/>
      <w:lvlJc w:val="left"/>
      <w:pPr>
        <w:tabs>
          <w:tab w:val="num" w:pos="4320"/>
        </w:tabs>
        <w:ind w:left="4320" w:hanging="360"/>
      </w:pPr>
      <w:rPr>
        <w:rFonts w:ascii="Arial" w:hAnsi="Arial" w:hint="default"/>
      </w:rPr>
    </w:lvl>
    <w:lvl w:ilvl="6" w:tplc="FE049634" w:tentative="1">
      <w:start w:val="1"/>
      <w:numFmt w:val="bullet"/>
      <w:lvlText w:val="•"/>
      <w:lvlJc w:val="left"/>
      <w:pPr>
        <w:tabs>
          <w:tab w:val="num" w:pos="5040"/>
        </w:tabs>
        <w:ind w:left="5040" w:hanging="360"/>
      </w:pPr>
      <w:rPr>
        <w:rFonts w:ascii="Arial" w:hAnsi="Arial" w:hint="default"/>
      </w:rPr>
    </w:lvl>
    <w:lvl w:ilvl="7" w:tplc="CD76DB3E" w:tentative="1">
      <w:start w:val="1"/>
      <w:numFmt w:val="bullet"/>
      <w:lvlText w:val="•"/>
      <w:lvlJc w:val="left"/>
      <w:pPr>
        <w:tabs>
          <w:tab w:val="num" w:pos="5760"/>
        </w:tabs>
        <w:ind w:left="5760" w:hanging="360"/>
      </w:pPr>
      <w:rPr>
        <w:rFonts w:ascii="Arial" w:hAnsi="Arial" w:hint="default"/>
      </w:rPr>
    </w:lvl>
    <w:lvl w:ilvl="8" w:tplc="67ACC18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90E30A9"/>
    <w:multiLevelType w:val="hybridMultilevel"/>
    <w:tmpl w:val="ED1265AE"/>
    <w:lvl w:ilvl="0" w:tplc="83689A54">
      <w:start w:val="500"/>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091BAC"/>
    <w:multiLevelType w:val="multilevel"/>
    <w:tmpl w:val="878EC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B4668B"/>
    <w:multiLevelType w:val="hybridMultilevel"/>
    <w:tmpl w:val="39E09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0" w:hanging="360"/>
      </w:pPr>
      <w:rPr>
        <w:rFonts w:ascii="Courier New" w:hAnsi="Courier New" w:cs="Courier New" w:hint="default"/>
      </w:rPr>
    </w:lvl>
    <w:lvl w:ilvl="2" w:tplc="040C0005" w:tentative="1">
      <w:start w:val="1"/>
      <w:numFmt w:val="bullet"/>
      <w:lvlText w:val=""/>
      <w:lvlJc w:val="left"/>
      <w:pPr>
        <w:ind w:left="720" w:hanging="360"/>
      </w:pPr>
      <w:rPr>
        <w:rFonts w:ascii="Wingdings" w:hAnsi="Wingdings" w:hint="default"/>
      </w:rPr>
    </w:lvl>
    <w:lvl w:ilvl="3" w:tplc="040C0001" w:tentative="1">
      <w:start w:val="1"/>
      <w:numFmt w:val="bullet"/>
      <w:lvlText w:val=""/>
      <w:lvlJc w:val="left"/>
      <w:pPr>
        <w:ind w:left="1440" w:hanging="360"/>
      </w:pPr>
      <w:rPr>
        <w:rFonts w:ascii="Symbol" w:hAnsi="Symbol" w:hint="default"/>
      </w:rPr>
    </w:lvl>
    <w:lvl w:ilvl="4" w:tplc="040C0003" w:tentative="1">
      <w:start w:val="1"/>
      <w:numFmt w:val="bullet"/>
      <w:lvlText w:val="o"/>
      <w:lvlJc w:val="left"/>
      <w:pPr>
        <w:ind w:left="2160" w:hanging="360"/>
      </w:pPr>
      <w:rPr>
        <w:rFonts w:ascii="Courier New" w:hAnsi="Courier New" w:cs="Courier New" w:hint="default"/>
      </w:rPr>
    </w:lvl>
    <w:lvl w:ilvl="5" w:tplc="040C0005" w:tentative="1">
      <w:start w:val="1"/>
      <w:numFmt w:val="bullet"/>
      <w:lvlText w:val=""/>
      <w:lvlJc w:val="left"/>
      <w:pPr>
        <w:ind w:left="2880" w:hanging="360"/>
      </w:pPr>
      <w:rPr>
        <w:rFonts w:ascii="Wingdings" w:hAnsi="Wingdings" w:hint="default"/>
      </w:rPr>
    </w:lvl>
    <w:lvl w:ilvl="6" w:tplc="040C0001" w:tentative="1">
      <w:start w:val="1"/>
      <w:numFmt w:val="bullet"/>
      <w:lvlText w:val=""/>
      <w:lvlJc w:val="left"/>
      <w:pPr>
        <w:ind w:left="3600" w:hanging="360"/>
      </w:pPr>
      <w:rPr>
        <w:rFonts w:ascii="Symbol" w:hAnsi="Symbol" w:hint="default"/>
      </w:rPr>
    </w:lvl>
    <w:lvl w:ilvl="7" w:tplc="040C0003" w:tentative="1">
      <w:start w:val="1"/>
      <w:numFmt w:val="bullet"/>
      <w:lvlText w:val="o"/>
      <w:lvlJc w:val="left"/>
      <w:pPr>
        <w:ind w:left="4320" w:hanging="360"/>
      </w:pPr>
      <w:rPr>
        <w:rFonts w:ascii="Courier New" w:hAnsi="Courier New" w:cs="Courier New" w:hint="default"/>
      </w:rPr>
    </w:lvl>
    <w:lvl w:ilvl="8" w:tplc="040C0005" w:tentative="1">
      <w:start w:val="1"/>
      <w:numFmt w:val="bullet"/>
      <w:lvlText w:val=""/>
      <w:lvlJc w:val="left"/>
      <w:pPr>
        <w:ind w:left="5040" w:hanging="360"/>
      </w:pPr>
      <w:rPr>
        <w:rFonts w:ascii="Wingdings" w:hAnsi="Wingdings" w:hint="default"/>
      </w:rPr>
    </w:lvl>
  </w:abstractNum>
  <w:abstractNum w:abstractNumId="24" w15:restartNumberingAfterBreak="0">
    <w:nsid w:val="61FD02C1"/>
    <w:multiLevelType w:val="hybridMultilevel"/>
    <w:tmpl w:val="858817E2"/>
    <w:lvl w:ilvl="0" w:tplc="57806148">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2D231D"/>
    <w:multiLevelType w:val="hybridMultilevel"/>
    <w:tmpl w:val="91E43D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D0A576E"/>
    <w:multiLevelType w:val="hybridMultilevel"/>
    <w:tmpl w:val="B0461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D20206C"/>
    <w:multiLevelType w:val="hybridMultilevel"/>
    <w:tmpl w:val="FCE45B32"/>
    <w:lvl w:ilvl="0" w:tplc="4AE2166A">
      <w:start w:val="1"/>
      <w:numFmt w:val="lowerRoman"/>
      <w:lvlText w:val="(%1)"/>
      <w:lvlJc w:val="right"/>
      <w:pPr>
        <w:ind w:left="720" w:hanging="360"/>
      </w:pPr>
      <w:rPr>
        <w:rFonts w:hint="default"/>
        <w:w w:val="99"/>
        <w:sz w:val="20"/>
        <w:szCs w:val="2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AFE3883"/>
    <w:multiLevelType w:val="hybridMultilevel"/>
    <w:tmpl w:val="82F22282"/>
    <w:lvl w:ilvl="0" w:tplc="4EC2E8EC">
      <w:start w:val="1"/>
      <w:numFmt w:val="decimal"/>
      <w:lvlText w:val="%1."/>
      <w:lvlJc w:val="left"/>
      <w:pPr>
        <w:ind w:left="480" w:hanging="360"/>
      </w:pPr>
      <w:rPr>
        <w:rFonts w:ascii="Calibri" w:eastAsia="Calibri" w:hAnsi="Calibri" w:cs="Calibri" w:hint="default"/>
        <w:b/>
        <w:bCs/>
        <w:spacing w:val="-2"/>
        <w:w w:val="100"/>
        <w:sz w:val="24"/>
        <w:szCs w:val="24"/>
      </w:rPr>
    </w:lvl>
    <w:lvl w:ilvl="1" w:tplc="587CF21E">
      <w:start w:val="1"/>
      <w:numFmt w:val="decimal"/>
      <w:lvlText w:val="%2."/>
      <w:lvlJc w:val="left"/>
      <w:pPr>
        <w:ind w:left="840" w:hanging="360"/>
      </w:pPr>
      <w:rPr>
        <w:rFonts w:ascii="Calibri" w:eastAsia="Calibri" w:hAnsi="Calibri" w:cs="Calibri" w:hint="default"/>
        <w:spacing w:val="-4"/>
        <w:w w:val="100"/>
        <w:sz w:val="24"/>
        <w:szCs w:val="24"/>
      </w:rPr>
    </w:lvl>
    <w:lvl w:ilvl="2" w:tplc="292E3EC2">
      <w:numFmt w:val="bullet"/>
      <w:lvlText w:val=""/>
      <w:lvlJc w:val="left"/>
      <w:pPr>
        <w:ind w:left="1200" w:hanging="360"/>
      </w:pPr>
      <w:rPr>
        <w:rFonts w:ascii="Symbol" w:eastAsia="Symbol" w:hAnsi="Symbol" w:cs="Symbol" w:hint="default"/>
        <w:w w:val="100"/>
        <w:sz w:val="24"/>
        <w:szCs w:val="24"/>
      </w:rPr>
    </w:lvl>
    <w:lvl w:ilvl="3" w:tplc="26480B4C">
      <w:numFmt w:val="bullet"/>
      <w:lvlText w:val="•"/>
      <w:lvlJc w:val="left"/>
      <w:pPr>
        <w:ind w:left="2208" w:hanging="360"/>
      </w:pPr>
      <w:rPr>
        <w:rFonts w:hint="default"/>
      </w:rPr>
    </w:lvl>
    <w:lvl w:ilvl="4" w:tplc="B2E45D34">
      <w:numFmt w:val="bullet"/>
      <w:lvlText w:val="•"/>
      <w:lvlJc w:val="left"/>
      <w:pPr>
        <w:ind w:left="3216" w:hanging="360"/>
      </w:pPr>
      <w:rPr>
        <w:rFonts w:hint="default"/>
      </w:rPr>
    </w:lvl>
    <w:lvl w:ilvl="5" w:tplc="096A9590">
      <w:numFmt w:val="bullet"/>
      <w:lvlText w:val="•"/>
      <w:lvlJc w:val="left"/>
      <w:pPr>
        <w:ind w:left="4224" w:hanging="360"/>
      </w:pPr>
      <w:rPr>
        <w:rFonts w:hint="default"/>
      </w:rPr>
    </w:lvl>
    <w:lvl w:ilvl="6" w:tplc="52EA341A">
      <w:numFmt w:val="bullet"/>
      <w:lvlText w:val="•"/>
      <w:lvlJc w:val="left"/>
      <w:pPr>
        <w:ind w:left="5233" w:hanging="360"/>
      </w:pPr>
      <w:rPr>
        <w:rFonts w:hint="default"/>
      </w:rPr>
    </w:lvl>
    <w:lvl w:ilvl="7" w:tplc="1004ECFA">
      <w:numFmt w:val="bullet"/>
      <w:lvlText w:val="•"/>
      <w:lvlJc w:val="left"/>
      <w:pPr>
        <w:ind w:left="6241" w:hanging="360"/>
      </w:pPr>
      <w:rPr>
        <w:rFonts w:hint="default"/>
      </w:rPr>
    </w:lvl>
    <w:lvl w:ilvl="8" w:tplc="E3829AC0">
      <w:numFmt w:val="bullet"/>
      <w:lvlText w:val="•"/>
      <w:lvlJc w:val="left"/>
      <w:pPr>
        <w:ind w:left="7249" w:hanging="360"/>
      </w:pPr>
      <w:rPr>
        <w:rFonts w:hint="default"/>
      </w:rPr>
    </w:lvl>
  </w:abstractNum>
  <w:abstractNum w:abstractNumId="29" w15:restartNumberingAfterBreak="0">
    <w:nsid w:val="7B472F11"/>
    <w:multiLevelType w:val="multilevel"/>
    <w:tmpl w:val="CAA6D6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7E1B286F"/>
    <w:multiLevelType w:val="hybridMultilevel"/>
    <w:tmpl w:val="E99221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80681346">
    <w:abstractNumId w:val="29"/>
  </w:num>
  <w:num w:numId="2" w16cid:durableId="563220227">
    <w:abstractNumId w:val="19"/>
  </w:num>
  <w:num w:numId="3" w16cid:durableId="1013260652">
    <w:abstractNumId w:val="3"/>
  </w:num>
  <w:num w:numId="4" w16cid:durableId="889146916">
    <w:abstractNumId w:val="24"/>
  </w:num>
  <w:num w:numId="5" w16cid:durableId="140660332">
    <w:abstractNumId w:val="21"/>
  </w:num>
  <w:num w:numId="6" w16cid:durableId="1855263969">
    <w:abstractNumId w:val="2"/>
  </w:num>
  <w:num w:numId="7" w16cid:durableId="1888485657">
    <w:abstractNumId w:val="28"/>
  </w:num>
  <w:num w:numId="8" w16cid:durableId="850334368">
    <w:abstractNumId w:val="16"/>
  </w:num>
  <w:num w:numId="9" w16cid:durableId="867910321">
    <w:abstractNumId w:val="27"/>
  </w:num>
  <w:num w:numId="10" w16cid:durableId="1844931553">
    <w:abstractNumId w:val="22"/>
  </w:num>
  <w:num w:numId="11" w16cid:durableId="2111583543">
    <w:abstractNumId w:val="13"/>
  </w:num>
  <w:num w:numId="12" w16cid:durableId="159544858">
    <w:abstractNumId w:val="20"/>
  </w:num>
  <w:num w:numId="13" w16cid:durableId="1272130105">
    <w:abstractNumId w:val="12"/>
  </w:num>
  <w:num w:numId="14" w16cid:durableId="1282344664">
    <w:abstractNumId w:val="4"/>
  </w:num>
  <w:num w:numId="15" w16cid:durableId="1515457">
    <w:abstractNumId w:val="7"/>
  </w:num>
  <w:num w:numId="16" w16cid:durableId="1979531043">
    <w:abstractNumId w:val="18"/>
  </w:num>
  <w:num w:numId="17" w16cid:durableId="6755997">
    <w:abstractNumId w:val="30"/>
  </w:num>
  <w:num w:numId="18" w16cid:durableId="914973157">
    <w:abstractNumId w:val="1"/>
  </w:num>
  <w:num w:numId="19" w16cid:durableId="248277862">
    <w:abstractNumId w:val="14"/>
  </w:num>
  <w:num w:numId="20" w16cid:durableId="342171688">
    <w:abstractNumId w:val="5"/>
  </w:num>
  <w:num w:numId="21" w16cid:durableId="262039112">
    <w:abstractNumId w:val="0"/>
  </w:num>
  <w:num w:numId="22" w16cid:durableId="181864886">
    <w:abstractNumId w:val="26"/>
  </w:num>
  <w:num w:numId="23" w16cid:durableId="1589194713">
    <w:abstractNumId w:val="23"/>
  </w:num>
  <w:num w:numId="24" w16cid:durableId="1142770921">
    <w:abstractNumId w:val="17"/>
  </w:num>
  <w:num w:numId="25" w16cid:durableId="1883975356">
    <w:abstractNumId w:val="15"/>
  </w:num>
  <w:num w:numId="26" w16cid:durableId="465583434">
    <w:abstractNumId w:val="6"/>
  </w:num>
  <w:num w:numId="27" w16cid:durableId="2105757863">
    <w:abstractNumId w:val="11"/>
  </w:num>
  <w:num w:numId="28" w16cid:durableId="727611796">
    <w:abstractNumId w:val="8"/>
  </w:num>
  <w:num w:numId="29" w16cid:durableId="701900803">
    <w:abstractNumId w:val="10"/>
  </w:num>
  <w:num w:numId="30" w16cid:durableId="1147431074">
    <w:abstractNumId w:val="25"/>
  </w:num>
  <w:num w:numId="31" w16cid:durableId="14891281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EF6"/>
    <w:rsid w:val="00002823"/>
    <w:rsid w:val="0000305D"/>
    <w:rsid w:val="00005A92"/>
    <w:rsid w:val="0001005D"/>
    <w:rsid w:val="00010984"/>
    <w:rsid w:val="00010B1F"/>
    <w:rsid w:val="000111B9"/>
    <w:rsid w:val="0001590D"/>
    <w:rsid w:val="0002222F"/>
    <w:rsid w:val="00022CD3"/>
    <w:rsid w:val="00026433"/>
    <w:rsid w:val="0002652C"/>
    <w:rsid w:val="00030813"/>
    <w:rsid w:val="00030814"/>
    <w:rsid w:val="000329F1"/>
    <w:rsid w:val="00032F0E"/>
    <w:rsid w:val="0003322F"/>
    <w:rsid w:val="00033790"/>
    <w:rsid w:val="0003485F"/>
    <w:rsid w:val="0004076A"/>
    <w:rsid w:val="00042A4C"/>
    <w:rsid w:val="00056C01"/>
    <w:rsid w:val="00057D2E"/>
    <w:rsid w:val="00060FC7"/>
    <w:rsid w:val="00066251"/>
    <w:rsid w:val="00066A91"/>
    <w:rsid w:val="00066BA4"/>
    <w:rsid w:val="00071144"/>
    <w:rsid w:val="00074905"/>
    <w:rsid w:val="000753E5"/>
    <w:rsid w:val="0007674F"/>
    <w:rsid w:val="000853B5"/>
    <w:rsid w:val="000875B6"/>
    <w:rsid w:val="0009573D"/>
    <w:rsid w:val="000A04CF"/>
    <w:rsid w:val="000A0A6A"/>
    <w:rsid w:val="000A38C4"/>
    <w:rsid w:val="000A5AAD"/>
    <w:rsid w:val="000B0D0E"/>
    <w:rsid w:val="000B274D"/>
    <w:rsid w:val="000D07FD"/>
    <w:rsid w:val="000D268B"/>
    <w:rsid w:val="000D3BD5"/>
    <w:rsid w:val="000D6DE1"/>
    <w:rsid w:val="000D7412"/>
    <w:rsid w:val="000E24B1"/>
    <w:rsid w:val="000F6C4B"/>
    <w:rsid w:val="001071D0"/>
    <w:rsid w:val="001230A9"/>
    <w:rsid w:val="001257DF"/>
    <w:rsid w:val="001258AC"/>
    <w:rsid w:val="001312C4"/>
    <w:rsid w:val="001314EF"/>
    <w:rsid w:val="00132F47"/>
    <w:rsid w:val="00140D01"/>
    <w:rsid w:val="001477A5"/>
    <w:rsid w:val="00150333"/>
    <w:rsid w:val="0015210E"/>
    <w:rsid w:val="00152B33"/>
    <w:rsid w:val="001631B3"/>
    <w:rsid w:val="00181D48"/>
    <w:rsid w:val="00183ABF"/>
    <w:rsid w:val="00186374"/>
    <w:rsid w:val="0019767C"/>
    <w:rsid w:val="001A5EA2"/>
    <w:rsid w:val="001A69B3"/>
    <w:rsid w:val="001A7B53"/>
    <w:rsid w:val="001B4A58"/>
    <w:rsid w:val="001D0128"/>
    <w:rsid w:val="001D0A49"/>
    <w:rsid w:val="001D18E1"/>
    <w:rsid w:val="001D1E2F"/>
    <w:rsid w:val="001D3212"/>
    <w:rsid w:val="001D3804"/>
    <w:rsid w:val="001D43E8"/>
    <w:rsid w:val="001D504E"/>
    <w:rsid w:val="001E1D02"/>
    <w:rsid w:val="001E2383"/>
    <w:rsid w:val="001E395D"/>
    <w:rsid w:val="001E5E49"/>
    <w:rsid w:val="002000D9"/>
    <w:rsid w:val="0020122E"/>
    <w:rsid w:val="00202472"/>
    <w:rsid w:val="00207BCB"/>
    <w:rsid w:val="00214AB4"/>
    <w:rsid w:val="00215384"/>
    <w:rsid w:val="00216DA9"/>
    <w:rsid w:val="002212AF"/>
    <w:rsid w:val="00223936"/>
    <w:rsid w:val="00223DCA"/>
    <w:rsid w:val="0022622E"/>
    <w:rsid w:val="00227139"/>
    <w:rsid w:val="00237FBC"/>
    <w:rsid w:val="002421F8"/>
    <w:rsid w:val="0024237C"/>
    <w:rsid w:val="00242604"/>
    <w:rsid w:val="00242B76"/>
    <w:rsid w:val="00244722"/>
    <w:rsid w:val="00244C70"/>
    <w:rsid w:val="00254948"/>
    <w:rsid w:val="00282EE1"/>
    <w:rsid w:val="002839D1"/>
    <w:rsid w:val="00293006"/>
    <w:rsid w:val="0029352B"/>
    <w:rsid w:val="00297504"/>
    <w:rsid w:val="002A7AA2"/>
    <w:rsid w:val="002B03C6"/>
    <w:rsid w:val="002B14DA"/>
    <w:rsid w:val="002B54CC"/>
    <w:rsid w:val="002B71A8"/>
    <w:rsid w:val="002C3659"/>
    <w:rsid w:val="002C3DE1"/>
    <w:rsid w:val="002C433F"/>
    <w:rsid w:val="002C477E"/>
    <w:rsid w:val="002C5778"/>
    <w:rsid w:val="002D1F1C"/>
    <w:rsid w:val="002D231D"/>
    <w:rsid w:val="002D2667"/>
    <w:rsid w:val="002D377E"/>
    <w:rsid w:val="002D6796"/>
    <w:rsid w:val="002E2C72"/>
    <w:rsid w:val="003023FD"/>
    <w:rsid w:val="00303793"/>
    <w:rsid w:val="003064A7"/>
    <w:rsid w:val="0030792A"/>
    <w:rsid w:val="00307C07"/>
    <w:rsid w:val="00310397"/>
    <w:rsid w:val="00313C4E"/>
    <w:rsid w:val="003147CD"/>
    <w:rsid w:val="0031483B"/>
    <w:rsid w:val="00314941"/>
    <w:rsid w:val="00317EEE"/>
    <w:rsid w:val="0032022B"/>
    <w:rsid w:val="003215A5"/>
    <w:rsid w:val="0032246B"/>
    <w:rsid w:val="003230D2"/>
    <w:rsid w:val="003332AA"/>
    <w:rsid w:val="00336B50"/>
    <w:rsid w:val="003417F2"/>
    <w:rsid w:val="003463A8"/>
    <w:rsid w:val="00347166"/>
    <w:rsid w:val="003550B2"/>
    <w:rsid w:val="00357F56"/>
    <w:rsid w:val="00365986"/>
    <w:rsid w:val="00366138"/>
    <w:rsid w:val="0036660E"/>
    <w:rsid w:val="00372CF3"/>
    <w:rsid w:val="0037506E"/>
    <w:rsid w:val="003879B1"/>
    <w:rsid w:val="003915BD"/>
    <w:rsid w:val="003924D7"/>
    <w:rsid w:val="00395C53"/>
    <w:rsid w:val="003A63EB"/>
    <w:rsid w:val="003A742C"/>
    <w:rsid w:val="003B0437"/>
    <w:rsid w:val="003B0FD5"/>
    <w:rsid w:val="003B165D"/>
    <w:rsid w:val="003B58F2"/>
    <w:rsid w:val="003B6062"/>
    <w:rsid w:val="003B60D4"/>
    <w:rsid w:val="003C730A"/>
    <w:rsid w:val="003D0AE4"/>
    <w:rsid w:val="003D2E45"/>
    <w:rsid w:val="003E086B"/>
    <w:rsid w:val="003E229C"/>
    <w:rsid w:val="003E2856"/>
    <w:rsid w:val="003E63D3"/>
    <w:rsid w:val="003E729F"/>
    <w:rsid w:val="003E7B3E"/>
    <w:rsid w:val="003F13D1"/>
    <w:rsid w:val="003F36B1"/>
    <w:rsid w:val="003F415A"/>
    <w:rsid w:val="003F5720"/>
    <w:rsid w:val="004000F6"/>
    <w:rsid w:val="00400DEC"/>
    <w:rsid w:val="00405DA2"/>
    <w:rsid w:val="0041328C"/>
    <w:rsid w:val="004136D8"/>
    <w:rsid w:val="00417533"/>
    <w:rsid w:val="004178C7"/>
    <w:rsid w:val="00427238"/>
    <w:rsid w:val="004409D3"/>
    <w:rsid w:val="004438E7"/>
    <w:rsid w:val="00446127"/>
    <w:rsid w:val="00447FA7"/>
    <w:rsid w:val="00451C59"/>
    <w:rsid w:val="0045611F"/>
    <w:rsid w:val="00457D99"/>
    <w:rsid w:val="004609B6"/>
    <w:rsid w:val="00461A32"/>
    <w:rsid w:val="00465E82"/>
    <w:rsid w:val="00467CD3"/>
    <w:rsid w:val="00472635"/>
    <w:rsid w:val="00473F4F"/>
    <w:rsid w:val="00480B1D"/>
    <w:rsid w:val="004820BE"/>
    <w:rsid w:val="00482FF8"/>
    <w:rsid w:val="00492D75"/>
    <w:rsid w:val="00495334"/>
    <w:rsid w:val="004A2CC6"/>
    <w:rsid w:val="004A6DD3"/>
    <w:rsid w:val="004B415C"/>
    <w:rsid w:val="004B4B32"/>
    <w:rsid w:val="004B7343"/>
    <w:rsid w:val="004C213B"/>
    <w:rsid w:val="004C350D"/>
    <w:rsid w:val="004C42DC"/>
    <w:rsid w:val="004C59BD"/>
    <w:rsid w:val="004D5D21"/>
    <w:rsid w:val="004D651E"/>
    <w:rsid w:val="004E29DA"/>
    <w:rsid w:val="004E2FF7"/>
    <w:rsid w:val="004F0469"/>
    <w:rsid w:val="004F210E"/>
    <w:rsid w:val="004F51E1"/>
    <w:rsid w:val="00500CDA"/>
    <w:rsid w:val="00500D06"/>
    <w:rsid w:val="0050172F"/>
    <w:rsid w:val="00503C4C"/>
    <w:rsid w:val="005066CB"/>
    <w:rsid w:val="00517FD4"/>
    <w:rsid w:val="00520A67"/>
    <w:rsid w:val="0052183A"/>
    <w:rsid w:val="005322F7"/>
    <w:rsid w:val="00544ACC"/>
    <w:rsid w:val="005478E2"/>
    <w:rsid w:val="00563642"/>
    <w:rsid w:val="00565691"/>
    <w:rsid w:val="00566E0B"/>
    <w:rsid w:val="00571852"/>
    <w:rsid w:val="0057307B"/>
    <w:rsid w:val="00573CC4"/>
    <w:rsid w:val="00582049"/>
    <w:rsid w:val="00582DE2"/>
    <w:rsid w:val="0058353A"/>
    <w:rsid w:val="00583E56"/>
    <w:rsid w:val="005844BD"/>
    <w:rsid w:val="005905B7"/>
    <w:rsid w:val="005918AC"/>
    <w:rsid w:val="00593974"/>
    <w:rsid w:val="0059454F"/>
    <w:rsid w:val="00595FC8"/>
    <w:rsid w:val="005A4FB1"/>
    <w:rsid w:val="005B1445"/>
    <w:rsid w:val="005B29D4"/>
    <w:rsid w:val="005B638E"/>
    <w:rsid w:val="005C26A9"/>
    <w:rsid w:val="005C6750"/>
    <w:rsid w:val="005D1483"/>
    <w:rsid w:val="005D32F0"/>
    <w:rsid w:val="005E1E5A"/>
    <w:rsid w:val="005E26FE"/>
    <w:rsid w:val="005E4AE8"/>
    <w:rsid w:val="005E5462"/>
    <w:rsid w:val="005E6306"/>
    <w:rsid w:val="005F4853"/>
    <w:rsid w:val="005F6506"/>
    <w:rsid w:val="005F737B"/>
    <w:rsid w:val="00600793"/>
    <w:rsid w:val="00602C30"/>
    <w:rsid w:val="0061151C"/>
    <w:rsid w:val="0061543C"/>
    <w:rsid w:val="00624110"/>
    <w:rsid w:val="00625AB3"/>
    <w:rsid w:val="006263FC"/>
    <w:rsid w:val="0063328F"/>
    <w:rsid w:val="006379A3"/>
    <w:rsid w:val="00644256"/>
    <w:rsid w:val="00645F15"/>
    <w:rsid w:val="00650F70"/>
    <w:rsid w:val="00656A48"/>
    <w:rsid w:val="00656B09"/>
    <w:rsid w:val="006640B8"/>
    <w:rsid w:val="00664920"/>
    <w:rsid w:val="00675005"/>
    <w:rsid w:val="00693083"/>
    <w:rsid w:val="00693C2B"/>
    <w:rsid w:val="00694937"/>
    <w:rsid w:val="006A2495"/>
    <w:rsid w:val="006A63C1"/>
    <w:rsid w:val="006B2AD2"/>
    <w:rsid w:val="006B7550"/>
    <w:rsid w:val="006B790C"/>
    <w:rsid w:val="006C11B9"/>
    <w:rsid w:val="006C41D0"/>
    <w:rsid w:val="006C6DA8"/>
    <w:rsid w:val="006E077B"/>
    <w:rsid w:val="006E0DA4"/>
    <w:rsid w:val="006E1AC9"/>
    <w:rsid w:val="006E7625"/>
    <w:rsid w:val="006F07F3"/>
    <w:rsid w:val="006F6B18"/>
    <w:rsid w:val="00700DD7"/>
    <w:rsid w:val="00701554"/>
    <w:rsid w:val="0070187D"/>
    <w:rsid w:val="00704A5E"/>
    <w:rsid w:val="00710DF7"/>
    <w:rsid w:val="00725F62"/>
    <w:rsid w:val="007330C0"/>
    <w:rsid w:val="00735847"/>
    <w:rsid w:val="007369AF"/>
    <w:rsid w:val="00737EF6"/>
    <w:rsid w:val="00742745"/>
    <w:rsid w:val="007438AA"/>
    <w:rsid w:val="007769E8"/>
    <w:rsid w:val="00783C50"/>
    <w:rsid w:val="00784C4F"/>
    <w:rsid w:val="00785E06"/>
    <w:rsid w:val="00786453"/>
    <w:rsid w:val="00791921"/>
    <w:rsid w:val="00791DCB"/>
    <w:rsid w:val="007A33DE"/>
    <w:rsid w:val="007A3439"/>
    <w:rsid w:val="007A6FE0"/>
    <w:rsid w:val="007C06E2"/>
    <w:rsid w:val="007C1B6D"/>
    <w:rsid w:val="007D113E"/>
    <w:rsid w:val="007D33E6"/>
    <w:rsid w:val="007E7940"/>
    <w:rsid w:val="007E7A4A"/>
    <w:rsid w:val="007F1F06"/>
    <w:rsid w:val="00800018"/>
    <w:rsid w:val="008011B4"/>
    <w:rsid w:val="0080121F"/>
    <w:rsid w:val="00803994"/>
    <w:rsid w:val="0080798C"/>
    <w:rsid w:val="008112D7"/>
    <w:rsid w:val="00811692"/>
    <w:rsid w:val="00811F7C"/>
    <w:rsid w:val="008140A6"/>
    <w:rsid w:val="0081446E"/>
    <w:rsid w:val="008159A3"/>
    <w:rsid w:val="0082372E"/>
    <w:rsid w:val="008253DB"/>
    <w:rsid w:val="00832750"/>
    <w:rsid w:val="00835553"/>
    <w:rsid w:val="00837094"/>
    <w:rsid w:val="00837324"/>
    <w:rsid w:val="00840C8E"/>
    <w:rsid w:val="0084325B"/>
    <w:rsid w:val="00843A01"/>
    <w:rsid w:val="00846B20"/>
    <w:rsid w:val="008477E5"/>
    <w:rsid w:val="00850E20"/>
    <w:rsid w:val="00851170"/>
    <w:rsid w:val="008542E6"/>
    <w:rsid w:val="00854CC6"/>
    <w:rsid w:val="00855FFA"/>
    <w:rsid w:val="00865351"/>
    <w:rsid w:val="0087301A"/>
    <w:rsid w:val="008744B1"/>
    <w:rsid w:val="00876DA6"/>
    <w:rsid w:val="0087705D"/>
    <w:rsid w:val="00880F3B"/>
    <w:rsid w:val="00881073"/>
    <w:rsid w:val="00883A45"/>
    <w:rsid w:val="008844FE"/>
    <w:rsid w:val="008879AB"/>
    <w:rsid w:val="00891AAF"/>
    <w:rsid w:val="00895A0A"/>
    <w:rsid w:val="00897F39"/>
    <w:rsid w:val="008A087F"/>
    <w:rsid w:val="008A0B0E"/>
    <w:rsid w:val="008A2423"/>
    <w:rsid w:val="008A2DBF"/>
    <w:rsid w:val="008A3D28"/>
    <w:rsid w:val="008B36B4"/>
    <w:rsid w:val="008C1976"/>
    <w:rsid w:val="008C2A59"/>
    <w:rsid w:val="008C3FB9"/>
    <w:rsid w:val="008C421A"/>
    <w:rsid w:val="008C47C6"/>
    <w:rsid w:val="008D0515"/>
    <w:rsid w:val="008D089A"/>
    <w:rsid w:val="008E112D"/>
    <w:rsid w:val="008E19A4"/>
    <w:rsid w:val="008E286A"/>
    <w:rsid w:val="008E3888"/>
    <w:rsid w:val="008F13E9"/>
    <w:rsid w:val="008F20CA"/>
    <w:rsid w:val="008F708A"/>
    <w:rsid w:val="008F730B"/>
    <w:rsid w:val="00901492"/>
    <w:rsid w:val="00907287"/>
    <w:rsid w:val="0090735C"/>
    <w:rsid w:val="00907D51"/>
    <w:rsid w:val="0091043A"/>
    <w:rsid w:val="009203A9"/>
    <w:rsid w:val="00923923"/>
    <w:rsid w:val="009314FF"/>
    <w:rsid w:val="00931791"/>
    <w:rsid w:val="00943234"/>
    <w:rsid w:val="00944E9B"/>
    <w:rsid w:val="009453DD"/>
    <w:rsid w:val="00950341"/>
    <w:rsid w:val="009536BF"/>
    <w:rsid w:val="00954E05"/>
    <w:rsid w:val="009649A4"/>
    <w:rsid w:val="00971C41"/>
    <w:rsid w:val="009726B1"/>
    <w:rsid w:val="00981F5F"/>
    <w:rsid w:val="00982D1F"/>
    <w:rsid w:val="0098457F"/>
    <w:rsid w:val="0098691D"/>
    <w:rsid w:val="00997DD4"/>
    <w:rsid w:val="009A33AF"/>
    <w:rsid w:val="009A5836"/>
    <w:rsid w:val="009B1E8F"/>
    <w:rsid w:val="009C0D39"/>
    <w:rsid w:val="009D7341"/>
    <w:rsid w:val="009D7C28"/>
    <w:rsid w:val="009E144C"/>
    <w:rsid w:val="009E2026"/>
    <w:rsid w:val="009E2776"/>
    <w:rsid w:val="009F17A3"/>
    <w:rsid w:val="009F1FF6"/>
    <w:rsid w:val="00A04A0C"/>
    <w:rsid w:val="00A075FC"/>
    <w:rsid w:val="00A100D1"/>
    <w:rsid w:val="00A12B94"/>
    <w:rsid w:val="00A14382"/>
    <w:rsid w:val="00A23449"/>
    <w:rsid w:val="00A23A63"/>
    <w:rsid w:val="00A25188"/>
    <w:rsid w:val="00A27145"/>
    <w:rsid w:val="00A31DE0"/>
    <w:rsid w:val="00A32283"/>
    <w:rsid w:val="00A33329"/>
    <w:rsid w:val="00A36F1D"/>
    <w:rsid w:val="00A40455"/>
    <w:rsid w:val="00A426B5"/>
    <w:rsid w:val="00A44BFA"/>
    <w:rsid w:val="00A517B5"/>
    <w:rsid w:val="00A647A8"/>
    <w:rsid w:val="00A6523C"/>
    <w:rsid w:val="00A711B0"/>
    <w:rsid w:val="00A71F94"/>
    <w:rsid w:val="00A73155"/>
    <w:rsid w:val="00A76878"/>
    <w:rsid w:val="00A8125F"/>
    <w:rsid w:val="00A83FB8"/>
    <w:rsid w:val="00A93A99"/>
    <w:rsid w:val="00A944B0"/>
    <w:rsid w:val="00A95A35"/>
    <w:rsid w:val="00A96B3B"/>
    <w:rsid w:val="00AA2179"/>
    <w:rsid w:val="00AA2ED4"/>
    <w:rsid w:val="00AA4AFC"/>
    <w:rsid w:val="00AA733D"/>
    <w:rsid w:val="00AB203B"/>
    <w:rsid w:val="00AB3FE6"/>
    <w:rsid w:val="00AB554B"/>
    <w:rsid w:val="00AB7E73"/>
    <w:rsid w:val="00AC43AD"/>
    <w:rsid w:val="00AC5316"/>
    <w:rsid w:val="00AC64BF"/>
    <w:rsid w:val="00AD270D"/>
    <w:rsid w:val="00AD5D04"/>
    <w:rsid w:val="00AE09C7"/>
    <w:rsid w:val="00AE2436"/>
    <w:rsid w:val="00AE2582"/>
    <w:rsid w:val="00AE30F4"/>
    <w:rsid w:val="00AE507B"/>
    <w:rsid w:val="00AE6314"/>
    <w:rsid w:val="00AE6C85"/>
    <w:rsid w:val="00AF3E9B"/>
    <w:rsid w:val="00AF4CEE"/>
    <w:rsid w:val="00B025F1"/>
    <w:rsid w:val="00B02A34"/>
    <w:rsid w:val="00B0330A"/>
    <w:rsid w:val="00B07A2E"/>
    <w:rsid w:val="00B07EB1"/>
    <w:rsid w:val="00B1262E"/>
    <w:rsid w:val="00B15E3D"/>
    <w:rsid w:val="00B16BD5"/>
    <w:rsid w:val="00B2290C"/>
    <w:rsid w:val="00B23FFB"/>
    <w:rsid w:val="00B25BA5"/>
    <w:rsid w:val="00B25BFB"/>
    <w:rsid w:val="00B401A0"/>
    <w:rsid w:val="00B41FE9"/>
    <w:rsid w:val="00B45C49"/>
    <w:rsid w:val="00B45EE0"/>
    <w:rsid w:val="00B50BD0"/>
    <w:rsid w:val="00B511FE"/>
    <w:rsid w:val="00B547ED"/>
    <w:rsid w:val="00B5486F"/>
    <w:rsid w:val="00B56EB1"/>
    <w:rsid w:val="00B655E0"/>
    <w:rsid w:val="00B65C68"/>
    <w:rsid w:val="00B71C9D"/>
    <w:rsid w:val="00B73EC6"/>
    <w:rsid w:val="00B801EA"/>
    <w:rsid w:val="00B824D4"/>
    <w:rsid w:val="00B84EA0"/>
    <w:rsid w:val="00B86BA2"/>
    <w:rsid w:val="00BA01F4"/>
    <w:rsid w:val="00BA3E77"/>
    <w:rsid w:val="00BA4777"/>
    <w:rsid w:val="00BB3967"/>
    <w:rsid w:val="00BB3C9E"/>
    <w:rsid w:val="00BB7FFA"/>
    <w:rsid w:val="00BC0D67"/>
    <w:rsid w:val="00BC1B3E"/>
    <w:rsid w:val="00BC2EB6"/>
    <w:rsid w:val="00BC618D"/>
    <w:rsid w:val="00BC750E"/>
    <w:rsid w:val="00BC7922"/>
    <w:rsid w:val="00BD19A7"/>
    <w:rsid w:val="00BD28C6"/>
    <w:rsid w:val="00BD2FE6"/>
    <w:rsid w:val="00BD6149"/>
    <w:rsid w:val="00BD7BC5"/>
    <w:rsid w:val="00BE464D"/>
    <w:rsid w:val="00BE6E0E"/>
    <w:rsid w:val="00BF4480"/>
    <w:rsid w:val="00C0120C"/>
    <w:rsid w:val="00C04AD0"/>
    <w:rsid w:val="00C12512"/>
    <w:rsid w:val="00C16CFC"/>
    <w:rsid w:val="00C21A5E"/>
    <w:rsid w:val="00C27114"/>
    <w:rsid w:val="00C34DDC"/>
    <w:rsid w:val="00C3542C"/>
    <w:rsid w:val="00C377E6"/>
    <w:rsid w:val="00C43608"/>
    <w:rsid w:val="00C54225"/>
    <w:rsid w:val="00C57A99"/>
    <w:rsid w:val="00C66B1D"/>
    <w:rsid w:val="00C702AE"/>
    <w:rsid w:val="00C70DC1"/>
    <w:rsid w:val="00C77761"/>
    <w:rsid w:val="00C83011"/>
    <w:rsid w:val="00C83A15"/>
    <w:rsid w:val="00C83ED0"/>
    <w:rsid w:val="00C87659"/>
    <w:rsid w:val="00C92AB3"/>
    <w:rsid w:val="00C950E2"/>
    <w:rsid w:val="00C96868"/>
    <w:rsid w:val="00CA47F2"/>
    <w:rsid w:val="00CA4903"/>
    <w:rsid w:val="00CA4A09"/>
    <w:rsid w:val="00CB1597"/>
    <w:rsid w:val="00CB2D4C"/>
    <w:rsid w:val="00CC015E"/>
    <w:rsid w:val="00CC0C5E"/>
    <w:rsid w:val="00CC475A"/>
    <w:rsid w:val="00CC4E25"/>
    <w:rsid w:val="00CC5407"/>
    <w:rsid w:val="00CC6286"/>
    <w:rsid w:val="00CD17F5"/>
    <w:rsid w:val="00CD187B"/>
    <w:rsid w:val="00CD2C4C"/>
    <w:rsid w:val="00CD3D8B"/>
    <w:rsid w:val="00CD4A6F"/>
    <w:rsid w:val="00CE1624"/>
    <w:rsid w:val="00CE64F9"/>
    <w:rsid w:val="00CE6F04"/>
    <w:rsid w:val="00CF5048"/>
    <w:rsid w:val="00CF79A0"/>
    <w:rsid w:val="00D0483B"/>
    <w:rsid w:val="00D04BEB"/>
    <w:rsid w:val="00D05618"/>
    <w:rsid w:val="00D11537"/>
    <w:rsid w:val="00D24228"/>
    <w:rsid w:val="00D25825"/>
    <w:rsid w:val="00D40BF3"/>
    <w:rsid w:val="00D4557F"/>
    <w:rsid w:val="00D56343"/>
    <w:rsid w:val="00D63726"/>
    <w:rsid w:val="00D641E2"/>
    <w:rsid w:val="00D67434"/>
    <w:rsid w:val="00D70F18"/>
    <w:rsid w:val="00D71A52"/>
    <w:rsid w:val="00D72049"/>
    <w:rsid w:val="00D72737"/>
    <w:rsid w:val="00D74763"/>
    <w:rsid w:val="00D779E3"/>
    <w:rsid w:val="00D80AC6"/>
    <w:rsid w:val="00D81809"/>
    <w:rsid w:val="00D83179"/>
    <w:rsid w:val="00D8395A"/>
    <w:rsid w:val="00DA2B79"/>
    <w:rsid w:val="00DB458E"/>
    <w:rsid w:val="00DB524D"/>
    <w:rsid w:val="00DB5813"/>
    <w:rsid w:val="00DB6855"/>
    <w:rsid w:val="00DC4624"/>
    <w:rsid w:val="00DC4DAA"/>
    <w:rsid w:val="00DD0CF8"/>
    <w:rsid w:val="00DF2D3F"/>
    <w:rsid w:val="00DF3447"/>
    <w:rsid w:val="00DF440F"/>
    <w:rsid w:val="00E07516"/>
    <w:rsid w:val="00E116B4"/>
    <w:rsid w:val="00E126EF"/>
    <w:rsid w:val="00E14488"/>
    <w:rsid w:val="00E22CAB"/>
    <w:rsid w:val="00E23153"/>
    <w:rsid w:val="00E240BA"/>
    <w:rsid w:val="00E26B06"/>
    <w:rsid w:val="00E31852"/>
    <w:rsid w:val="00E34E62"/>
    <w:rsid w:val="00E42105"/>
    <w:rsid w:val="00E430E5"/>
    <w:rsid w:val="00E44E35"/>
    <w:rsid w:val="00E462F9"/>
    <w:rsid w:val="00E463B0"/>
    <w:rsid w:val="00E47A71"/>
    <w:rsid w:val="00E53A2D"/>
    <w:rsid w:val="00E54163"/>
    <w:rsid w:val="00E543C2"/>
    <w:rsid w:val="00E616CD"/>
    <w:rsid w:val="00E72917"/>
    <w:rsid w:val="00E75836"/>
    <w:rsid w:val="00E75E48"/>
    <w:rsid w:val="00E811B5"/>
    <w:rsid w:val="00E834EC"/>
    <w:rsid w:val="00E835FD"/>
    <w:rsid w:val="00E9512F"/>
    <w:rsid w:val="00E95596"/>
    <w:rsid w:val="00E97C18"/>
    <w:rsid w:val="00E97DF9"/>
    <w:rsid w:val="00EA533B"/>
    <w:rsid w:val="00EB1460"/>
    <w:rsid w:val="00EB47E9"/>
    <w:rsid w:val="00EC0180"/>
    <w:rsid w:val="00EC1BA2"/>
    <w:rsid w:val="00EC1CB2"/>
    <w:rsid w:val="00EC2618"/>
    <w:rsid w:val="00EC27A6"/>
    <w:rsid w:val="00EC387B"/>
    <w:rsid w:val="00ED1E60"/>
    <w:rsid w:val="00ED530A"/>
    <w:rsid w:val="00EF0BC0"/>
    <w:rsid w:val="00EF519A"/>
    <w:rsid w:val="00F03326"/>
    <w:rsid w:val="00F0648E"/>
    <w:rsid w:val="00F07209"/>
    <w:rsid w:val="00F12B27"/>
    <w:rsid w:val="00F13DB3"/>
    <w:rsid w:val="00F149D9"/>
    <w:rsid w:val="00F24BED"/>
    <w:rsid w:val="00F25239"/>
    <w:rsid w:val="00F3061B"/>
    <w:rsid w:val="00F32EC2"/>
    <w:rsid w:val="00F335AC"/>
    <w:rsid w:val="00F36FAF"/>
    <w:rsid w:val="00F4215B"/>
    <w:rsid w:val="00F4267E"/>
    <w:rsid w:val="00F43319"/>
    <w:rsid w:val="00F453DD"/>
    <w:rsid w:val="00F50EAE"/>
    <w:rsid w:val="00F51A51"/>
    <w:rsid w:val="00F53BE9"/>
    <w:rsid w:val="00F54237"/>
    <w:rsid w:val="00F7269D"/>
    <w:rsid w:val="00F72A18"/>
    <w:rsid w:val="00F7342F"/>
    <w:rsid w:val="00F77CE2"/>
    <w:rsid w:val="00F9054F"/>
    <w:rsid w:val="00FA21C5"/>
    <w:rsid w:val="00FA29C2"/>
    <w:rsid w:val="00FB41BB"/>
    <w:rsid w:val="00FB4669"/>
    <w:rsid w:val="00FB5B39"/>
    <w:rsid w:val="00FC013A"/>
    <w:rsid w:val="00FE00A5"/>
    <w:rsid w:val="00FE0F9B"/>
    <w:rsid w:val="00FE39DC"/>
    <w:rsid w:val="00FF7B0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DF2B0"/>
  <w15:chartTrackingRefBased/>
  <w15:docId w15:val="{AA8CC081-F65F-4954-9D96-312988C61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7EF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37EF6"/>
  </w:style>
  <w:style w:type="paragraph" w:styleId="Footer">
    <w:name w:val="footer"/>
    <w:basedOn w:val="Normal"/>
    <w:link w:val="FooterChar"/>
    <w:uiPriority w:val="99"/>
    <w:unhideWhenUsed/>
    <w:rsid w:val="00737E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7EF6"/>
  </w:style>
  <w:style w:type="paragraph" w:styleId="NormalIndent">
    <w:name w:val="Normal Indent"/>
    <w:basedOn w:val="Normal"/>
    <w:link w:val="NormalIndentChar"/>
    <w:rsid w:val="004C42DC"/>
    <w:pPr>
      <w:overflowPunct w:val="0"/>
      <w:autoSpaceDE w:val="0"/>
      <w:autoSpaceDN w:val="0"/>
      <w:adjustRightInd w:val="0"/>
      <w:spacing w:before="120" w:after="120" w:line="240" w:lineRule="auto"/>
      <w:ind w:left="708"/>
      <w:jc w:val="both"/>
      <w:textAlignment w:val="baseline"/>
    </w:pPr>
    <w:rPr>
      <w:rFonts w:ascii="Garamond" w:eastAsia="Times New Roman" w:hAnsi="Garamond" w:cs="Times New Roman"/>
      <w:sz w:val="24"/>
      <w:szCs w:val="20"/>
      <w:lang w:eastAsia="fr-FR"/>
    </w:rPr>
  </w:style>
  <w:style w:type="character" w:customStyle="1" w:styleId="NormalIndentChar">
    <w:name w:val="Normal Indent Char"/>
    <w:basedOn w:val="DefaultParagraphFont"/>
    <w:link w:val="NormalIndent"/>
    <w:rsid w:val="004C42DC"/>
    <w:rPr>
      <w:rFonts w:ascii="Garamond" w:eastAsia="Times New Roman" w:hAnsi="Garamond" w:cs="Times New Roman"/>
      <w:sz w:val="24"/>
      <w:szCs w:val="20"/>
      <w:lang w:eastAsia="fr-FR"/>
    </w:rPr>
  </w:style>
  <w:style w:type="paragraph" w:customStyle="1" w:styleId="Retraita">
    <w:name w:val="Retrait a"/>
    <w:basedOn w:val="NormalIndent"/>
    <w:rsid w:val="004C42DC"/>
    <w:pPr>
      <w:ind w:left="1248" w:hanging="567"/>
    </w:pPr>
    <w:rPr>
      <w:noProof/>
    </w:rPr>
  </w:style>
  <w:style w:type="character" w:customStyle="1" w:styleId="apple-converted-space">
    <w:name w:val="apple-converted-space"/>
    <w:basedOn w:val="DefaultParagraphFont"/>
    <w:rsid w:val="008E112D"/>
  </w:style>
  <w:style w:type="character" w:styleId="Hyperlink">
    <w:name w:val="Hyperlink"/>
    <w:basedOn w:val="DefaultParagraphFont"/>
    <w:uiPriority w:val="99"/>
    <w:unhideWhenUsed/>
    <w:rsid w:val="008E112D"/>
    <w:rPr>
      <w:color w:val="0000FF"/>
      <w:u w:val="single"/>
    </w:rPr>
  </w:style>
  <w:style w:type="character" w:styleId="CommentReference">
    <w:name w:val="annotation reference"/>
    <w:basedOn w:val="DefaultParagraphFont"/>
    <w:uiPriority w:val="99"/>
    <w:semiHidden/>
    <w:unhideWhenUsed/>
    <w:rsid w:val="00C70DC1"/>
    <w:rPr>
      <w:sz w:val="16"/>
      <w:szCs w:val="16"/>
    </w:rPr>
  </w:style>
  <w:style w:type="paragraph" w:styleId="CommentText">
    <w:name w:val="annotation text"/>
    <w:basedOn w:val="Normal"/>
    <w:link w:val="CommentTextChar"/>
    <w:uiPriority w:val="99"/>
    <w:unhideWhenUsed/>
    <w:rsid w:val="00C70DC1"/>
    <w:pPr>
      <w:spacing w:line="240" w:lineRule="auto"/>
    </w:pPr>
    <w:rPr>
      <w:sz w:val="20"/>
      <w:szCs w:val="20"/>
    </w:rPr>
  </w:style>
  <w:style w:type="character" w:customStyle="1" w:styleId="CommentTextChar">
    <w:name w:val="Comment Text Char"/>
    <w:basedOn w:val="DefaultParagraphFont"/>
    <w:link w:val="CommentText"/>
    <w:uiPriority w:val="99"/>
    <w:rsid w:val="00C70DC1"/>
    <w:rPr>
      <w:sz w:val="20"/>
      <w:szCs w:val="20"/>
    </w:rPr>
  </w:style>
  <w:style w:type="paragraph" w:styleId="CommentSubject">
    <w:name w:val="annotation subject"/>
    <w:basedOn w:val="CommentText"/>
    <w:next w:val="CommentText"/>
    <w:link w:val="CommentSubjectChar"/>
    <w:uiPriority w:val="99"/>
    <w:semiHidden/>
    <w:unhideWhenUsed/>
    <w:rsid w:val="00C70DC1"/>
    <w:rPr>
      <w:b/>
      <w:bCs/>
    </w:rPr>
  </w:style>
  <w:style w:type="character" w:customStyle="1" w:styleId="CommentSubjectChar">
    <w:name w:val="Comment Subject Char"/>
    <w:basedOn w:val="CommentTextChar"/>
    <w:link w:val="CommentSubject"/>
    <w:uiPriority w:val="99"/>
    <w:semiHidden/>
    <w:rsid w:val="00C70DC1"/>
    <w:rPr>
      <w:b/>
      <w:bCs/>
      <w:sz w:val="20"/>
      <w:szCs w:val="20"/>
    </w:rPr>
  </w:style>
  <w:style w:type="character" w:styleId="UnresolvedMention">
    <w:name w:val="Unresolved Mention"/>
    <w:basedOn w:val="DefaultParagraphFont"/>
    <w:uiPriority w:val="99"/>
    <w:semiHidden/>
    <w:unhideWhenUsed/>
    <w:rsid w:val="00244722"/>
    <w:rPr>
      <w:color w:val="605E5C"/>
      <w:shd w:val="clear" w:color="auto" w:fill="E1DFDD"/>
    </w:rPr>
  </w:style>
  <w:style w:type="paragraph" w:styleId="ListParagraph">
    <w:name w:val="List Paragraph"/>
    <w:basedOn w:val="Normal"/>
    <w:uiPriority w:val="34"/>
    <w:qFormat/>
    <w:rsid w:val="00244722"/>
    <w:pPr>
      <w:ind w:left="720"/>
      <w:contextualSpacing/>
    </w:pPr>
  </w:style>
  <w:style w:type="paragraph" w:styleId="BalloonText">
    <w:name w:val="Balloon Text"/>
    <w:basedOn w:val="Normal"/>
    <w:link w:val="BalloonTextChar"/>
    <w:uiPriority w:val="99"/>
    <w:semiHidden/>
    <w:unhideWhenUsed/>
    <w:rsid w:val="00CF50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048"/>
    <w:rPr>
      <w:rFonts w:ascii="Segoe UI" w:hAnsi="Segoe UI" w:cs="Segoe UI"/>
      <w:sz w:val="18"/>
      <w:szCs w:val="18"/>
    </w:rPr>
  </w:style>
  <w:style w:type="paragraph" w:styleId="Revision">
    <w:name w:val="Revision"/>
    <w:hidden/>
    <w:uiPriority w:val="99"/>
    <w:semiHidden/>
    <w:rsid w:val="0084325B"/>
    <w:pPr>
      <w:spacing w:after="0" w:line="240" w:lineRule="auto"/>
    </w:pPr>
  </w:style>
  <w:style w:type="paragraph" w:customStyle="1" w:styleId="Default">
    <w:name w:val="Default"/>
    <w:rsid w:val="00B5486F"/>
    <w:pPr>
      <w:autoSpaceDE w:val="0"/>
      <w:autoSpaceDN w:val="0"/>
      <w:adjustRightInd w:val="0"/>
      <w:spacing w:after="0" w:line="240" w:lineRule="auto"/>
    </w:pPr>
    <w:rPr>
      <w:rFonts w:ascii="Arial" w:hAnsi="Arial" w:cs="Arial"/>
      <w:color w:val="000000"/>
      <w:sz w:val="24"/>
      <w:szCs w:val="24"/>
      <w:lang w:val="en-US"/>
    </w:rPr>
  </w:style>
  <w:style w:type="character" w:styleId="FollowedHyperlink">
    <w:name w:val="FollowedHyperlink"/>
    <w:basedOn w:val="DefaultParagraphFont"/>
    <w:uiPriority w:val="99"/>
    <w:semiHidden/>
    <w:unhideWhenUsed/>
    <w:rsid w:val="00A12B94"/>
    <w:rPr>
      <w:color w:val="954F72" w:themeColor="followedHyperlink"/>
      <w:u w:val="single"/>
    </w:rPr>
  </w:style>
  <w:style w:type="paragraph" w:styleId="NormalWeb">
    <w:name w:val="Normal (Web)"/>
    <w:basedOn w:val="Normal"/>
    <w:uiPriority w:val="99"/>
    <w:semiHidden/>
    <w:unhideWhenUsed/>
    <w:rsid w:val="00A31DE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05183">
      <w:bodyDiv w:val="1"/>
      <w:marLeft w:val="0"/>
      <w:marRight w:val="0"/>
      <w:marTop w:val="0"/>
      <w:marBottom w:val="0"/>
      <w:divBdr>
        <w:top w:val="none" w:sz="0" w:space="0" w:color="auto"/>
        <w:left w:val="none" w:sz="0" w:space="0" w:color="auto"/>
        <w:bottom w:val="none" w:sz="0" w:space="0" w:color="auto"/>
        <w:right w:val="none" w:sz="0" w:space="0" w:color="auto"/>
      </w:divBdr>
    </w:div>
    <w:div w:id="218250567">
      <w:bodyDiv w:val="1"/>
      <w:marLeft w:val="0"/>
      <w:marRight w:val="0"/>
      <w:marTop w:val="0"/>
      <w:marBottom w:val="0"/>
      <w:divBdr>
        <w:top w:val="none" w:sz="0" w:space="0" w:color="auto"/>
        <w:left w:val="none" w:sz="0" w:space="0" w:color="auto"/>
        <w:bottom w:val="none" w:sz="0" w:space="0" w:color="auto"/>
        <w:right w:val="none" w:sz="0" w:space="0" w:color="auto"/>
      </w:divBdr>
    </w:div>
    <w:div w:id="341855418">
      <w:bodyDiv w:val="1"/>
      <w:marLeft w:val="0"/>
      <w:marRight w:val="0"/>
      <w:marTop w:val="0"/>
      <w:marBottom w:val="0"/>
      <w:divBdr>
        <w:top w:val="none" w:sz="0" w:space="0" w:color="auto"/>
        <w:left w:val="none" w:sz="0" w:space="0" w:color="auto"/>
        <w:bottom w:val="none" w:sz="0" w:space="0" w:color="auto"/>
        <w:right w:val="none" w:sz="0" w:space="0" w:color="auto"/>
      </w:divBdr>
    </w:div>
    <w:div w:id="345324084">
      <w:bodyDiv w:val="1"/>
      <w:marLeft w:val="0"/>
      <w:marRight w:val="0"/>
      <w:marTop w:val="0"/>
      <w:marBottom w:val="0"/>
      <w:divBdr>
        <w:top w:val="none" w:sz="0" w:space="0" w:color="auto"/>
        <w:left w:val="none" w:sz="0" w:space="0" w:color="auto"/>
        <w:bottom w:val="none" w:sz="0" w:space="0" w:color="auto"/>
        <w:right w:val="none" w:sz="0" w:space="0" w:color="auto"/>
      </w:divBdr>
    </w:div>
    <w:div w:id="530388188">
      <w:bodyDiv w:val="1"/>
      <w:marLeft w:val="0"/>
      <w:marRight w:val="0"/>
      <w:marTop w:val="0"/>
      <w:marBottom w:val="0"/>
      <w:divBdr>
        <w:top w:val="none" w:sz="0" w:space="0" w:color="auto"/>
        <w:left w:val="none" w:sz="0" w:space="0" w:color="auto"/>
        <w:bottom w:val="none" w:sz="0" w:space="0" w:color="auto"/>
        <w:right w:val="none" w:sz="0" w:space="0" w:color="auto"/>
      </w:divBdr>
    </w:div>
    <w:div w:id="530654965">
      <w:bodyDiv w:val="1"/>
      <w:marLeft w:val="0"/>
      <w:marRight w:val="0"/>
      <w:marTop w:val="0"/>
      <w:marBottom w:val="0"/>
      <w:divBdr>
        <w:top w:val="none" w:sz="0" w:space="0" w:color="auto"/>
        <w:left w:val="none" w:sz="0" w:space="0" w:color="auto"/>
        <w:bottom w:val="none" w:sz="0" w:space="0" w:color="auto"/>
        <w:right w:val="none" w:sz="0" w:space="0" w:color="auto"/>
      </w:divBdr>
    </w:div>
    <w:div w:id="617680608">
      <w:bodyDiv w:val="1"/>
      <w:marLeft w:val="0"/>
      <w:marRight w:val="0"/>
      <w:marTop w:val="0"/>
      <w:marBottom w:val="0"/>
      <w:divBdr>
        <w:top w:val="none" w:sz="0" w:space="0" w:color="auto"/>
        <w:left w:val="none" w:sz="0" w:space="0" w:color="auto"/>
        <w:bottom w:val="none" w:sz="0" w:space="0" w:color="auto"/>
        <w:right w:val="none" w:sz="0" w:space="0" w:color="auto"/>
      </w:divBdr>
    </w:div>
    <w:div w:id="623275255">
      <w:bodyDiv w:val="1"/>
      <w:marLeft w:val="0"/>
      <w:marRight w:val="0"/>
      <w:marTop w:val="0"/>
      <w:marBottom w:val="0"/>
      <w:divBdr>
        <w:top w:val="none" w:sz="0" w:space="0" w:color="auto"/>
        <w:left w:val="none" w:sz="0" w:space="0" w:color="auto"/>
        <w:bottom w:val="none" w:sz="0" w:space="0" w:color="auto"/>
        <w:right w:val="none" w:sz="0" w:space="0" w:color="auto"/>
      </w:divBdr>
    </w:div>
    <w:div w:id="775445558">
      <w:bodyDiv w:val="1"/>
      <w:marLeft w:val="0"/>
      <w:marRight w:val="0"/>
      <w:marTop w:val="0"/>
      <w:marBottom w:val="0"/>
      <w:divBdr>
        <w:top w:val="none" w:sz="0" w:space="0" w:color="auto"/>
        <w:left w:val="none" w:sz="0" w:space="0" w:color="auto"/>
        <w:bottom w:val="none" w:sz="0" w:space="0" w:color="auto"/>
        <w:right w:val="none" w:sz="0" w:space="0" w:color="auto"/>
      </w:divBdr>
    </w:div>
    <w:div w:id="868879318">
      <w:bodyDiv w:val="1"/>
      <w:marLeft w:val="0"/>
      <w:marRight w:val="0"/>
      <w:marTop w:val="0"/>
      <w:marBottom w:val="0"/>
      <w:divBdr>
        <w:top w:val="none" w:sz="0" w:space="0" w:color="auto"/>
        <w:left w:val="none" w:sz="0" w:space="0" w:color="auto"/>
        <w:bottom w:val="none" w:sz="0" w:space="0" w:color="auto"/>
        <w:right w:val="none" w:sz="0" w:space="0" w:color="auto"/>
      </w:divBdr>
    </w:div>
    <w:div w:id="991374927">
      <w:bodyDiv w:val="1"/>
      <w:marLeft w:val="0"/>
      <w:marRight w:val="0"/>
      <w:marTop w:val="0"/>
      <w:marBottom w:val="0"/>
      <w:divBdr>
        <w:top w:val="none" w:sz="0" w:space="0" w:color="auto"/>
        <w:left w:val="none" w:sz="0" w:space="0" w:color="auto"/>
        <w:bottom w:val="none" w:sz="0" w:space="0" w:color="auto"/>
        <w:right w:val="none" w:sz="0" w:space="0" w:color="auto"/>
      </w:divBdr>
    </w:div>
    <w:div w:id="1285162516">
      <w:bodyDiv w:val="1"/>
      <w:marLeft w:val="0"/>
      <w:marRight w:val="0"/>
      <w:marTop w:val="0"/>
      <w:marBottom w:val="0"/>
      <w:divBdr>
        <w:top w:val="none" w:sz="0" w:space="0" w:color="auto"/>
        <w:left w:val="none" w:sz="0" w:space="0" w:color="auto"/>
        <w:bottom w:val="none" w:sz="0" w:space="0" w:color="auto"/>
        <w:right w:val="none" w:sz="0" w:space="0" w:color="auto"/>
      </w:divBdr>
    </w:div>
    <w:div w:id="1626155232">
      <w:bodyDiv w:val="1"/>
      <w:marLeft w:val="0"/>
      <w:marRight w:val="0"/>
      <w:marTop w:val="0"/>
      <w:marBottom w:val="0"/>
      <w:divBdr>
        <w:top w:val="none" w:sz="0" w:space="0" w:color="auto"/>
        <w:left w:val="none" w:sz="0" w:space="0" w:color="auto"/>
        <w:bottom w:val="none" w:sz="0" w:space="0" w:color="auto"/>
        <w:right w:val="none" w:sz="0" w:space="0" w:color="auto"/>
      </w:divBdr>
    </w:div>
    <w:div w:id="1662078842">
      <w:bodyDiv w:val="1"/>
      <w:marLeft w:val="0"/>
      <w:marRight w:val="0"/>
      <w:marTop w:val="0"/>
      <w:marBottom w:val="0"/>
      <w:divBdr>
        <w:top w:val="none" w:sz="0" w:space="0" w:color="auto"/>
        <w:left w:val="none" w:sz="0" w:space="0" w:color="auto"/>
        <w:bottom w:val="none" w:sz="0" w:space="0" w:color="auto"/>
        <w:right w:val="none" w:sz="0" w:space="0" w:color="auto"/>
      </w:divBdr>
    </w:div>
    <w:div w:id="1761368663">
      <w:bodyDiv w:val="1"/>
      <w:marLeft w:val="0"/>
      <w:marRight w:val="0"/>
      <w:marTop w:val="0"/>
      <w:marBottom w:val="0"/>
      <w:divBdr>
        <w:top w:val="none" w:sz="0" w:space="0" w:color="auto"/>
        <w:left w:val="none" w:sz="0" w:space="0" w:color="auto"/>
        <w:bottom w:val="none" w:sz="0" w:space="0" w:color="auto"/>
        <w:right w:val="none" w:sz="0" w:space="0" w:color="auto"/>
      </w:divBdr>
      <w:divsChild>
        <w:div w:id="841431954">
          <w:marLeft w:val="490"/>
          <w:marRight w:val="0"/>
          <w:marTop w:val="120"/>
          <w:marBottom w:val="0"/>
          <w:divBdr>
            <w:top w:val="none" w:sz="0" w:space="0" w:color="auto"/>
            <w:left w:val="none" w:sz="0" w:space="0" w:color="auto"/>
            <w:bottom w:val="none" w:sz="0" w:space="0" w:color="auto"/>
            <w:right w:val="none" w:sz="0" w:space="0" w:color="auto"/>
          </w:divBdr>
        </w:div>
      </w:divsChild>
    </w:div>
    <w:div w:id="1936667832">
      <w:bodyDiv w:val="1"/>
      <w:marLeft w:val="0"/>
      <w:marRight w:val="0"/>
      <w:marTop w:val="0"/>
      <w:marBottom w:val="0"/>
      <w:divBdr>
        <w:top w:val="none" w:sz="0" w:space="0" w:color="auto"/>
        <w:left w:val="none" w:sz="0" w:space="0" w:color="auto"/>
        <w:bottom w:val="none" w:sz="0" w:space="0" w:color="auto"/>
        <w:right w:val="none" w:sz="0" w:space="0" w:color="auto"/>
      </w:divBdr>
    </w:div>
    <w:div w:id="2035571192">
      <w:bodyDiv w:val="1"/>
      <w:marLeft w:val="0"/>
      <w:marRight w:val="0"/>
      <w:marTop w:val="0"/>
      <w:marBottom w:val="0"/>
      <w:divBdr>
        <w:top w:val="none" w:sz="0" w:space="0" w:color="auto"/>
        <w:left w:val="none" w:sz="0" w:space="0" w:color="auto"/>
        <w:bottom w:val="none" w:sz="0" w:space="0" w:color="auto"/>
        <w:right w:val="none" w:sz="0" w:space="0" w:color="auto"/>
      </w:divBdr>
      <w:divsChild>
        <w:div w:id="629895890">
          <w:marLeft w:val="634"/>
          <w:marRight w:val="0"/>
          <w:marTop w:val="120"/>
          <w:marBottom w:val="0"/>
          <w:divBdr>
            <w:top w:val="none" w:sz="0" w:space="0" w:color="auto"/>
            <w:left w:val="none" w:sz="0" w:space="0" w:color="auto"/>
            <w:bottom w:val="none" w:sz="0" w:space="0" w:color="auto"/>
            <w:right w:val="none" w:sz="0" w:space="0" w:color="auto"/>
          </w:divBdr>
        </w:div>
        <w:div w:id="1536968283">
          <w:marLeft w:val="634"/>
          <w:marRight w:val="0"/>
          <w:marTop w:val="120"/>
          <w:marBottom w:val="0"/>
          <w:divBdr>
            <w:top w:val="none" w:sz="0" w:space="0" w:color="auto"/>
            <w:left w:val="none" w:sz="0" w:space="0" w:color="auto"/>
            <w:bottom w:val="none" w:sz="0" w:space="0" w:color="auto"/>
            <w:right w:val="none" w:sz="0" w:space="0" w:color="auto"/>
          </w:divBdr>
        </w:div>
        <w:div w:id="614018345">
          <w:marLeft w:val="634"/>
          <w:marRight w:val="0"/>
          <w:marTop w:val="120"/>
          <w:marBottom w:val="0"/>
          <w:divBdr>
            <w:top w:val="none" w:sz="0" w:space="0" w:color="auto"/>
            <w:left w:val="none" w:sz="0" w:space="0" w:color="auto"/>
            <w:bottom w:val="none" w:sz="0" w:space="0" w:color="auto"/>
            <w:right w:val="none" w:sz="0" w:space="0" w:color="auto"/>
          </w:divBdr>
        </w:div>
        <w:div w:id="1488283124">
          <w:marLeft w:val="634"/>
          <w:marRight w:val="0"/>
          <w:marTop w:val="120"/>
          <w:marBottom w:val="0"/>
          <w:divBdr>
            <w:top w:val="none" w:sz="0" w:space="0" w:color="auto"/>
            <w:left w:val="none" w:sz="0" w:space="0" w:color="auto"/>
            <w:bottom w:val="none" w:sz="0" w:space="0" w:color="auto"/>
            <w:right w:val="none" w:sz="0" w:space="0" w:color="auto"/>
          </w:divBdr>
        </w:div>
        <w:div w:id="1600213926">
          <w:marLeft w:val="634"/>
          <w:marRight w:val="0"/>
          <w:marTop w:val="120"/>
          <w:marBottom w:val="0"/>
          <w:divBdr>
            <w:top w:val="none" w:sz="0" w:space="0" w:color="auto"/>
            <w:left w:val="none" w:sz="0" w:space="0" w:color="auto"/>
            <w:bottom w:val="none" w:sz="0" w:space="0" w:color="auto"/>
            <w:right w:val="none" w:sz="0" w:space="0" w:color="auto"/>
          </w:divBdr>
        </w:div>
        <w:div w:id="2078243704">
          <w:marLeft w:val="634"/>
          <w:marRight w:val="0"/>
          <w:marTop w:val="120"/>
          <w:marBottom w:val="0"/>
          <w:divBdr>
            <w:top w:val="none" w:sz="0" w:space="0" w:color="auto"/>
            <w:left w:val="none" w:sz="0" w:space="0" w:color="auto"/>
            <w:bottom w:val="none" w:sz="0" w:space="0" w:color="auto"/>
            <w:right w:val="none" w:sz="0" w:space="0" w:color="auto"/>
          </w:divBdr>
        </w:div>
        <w:div w:id="81413191">
          <w:marLeft w:val="634"/>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88765.locale=en" TargetMode="External"/><Relationship Id="rId13" Type="http://schemas.openxmlformats.org/officeDocument/2006/relationships/hyperlink" Target="https://www.unesco.org/en/articles/resilience-and-remembrance-20-years-after-2004-indian-ocean-tsunam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sunami.ioc.unesco.org/en/impact/eyewitness-survivors-projec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assroom.oceanteacher.org/" TargetMode="External"/><Relationship Id="rId5" Type="http://schemas.openxmlformats.org/officeDocument/2006/relationships/webSettings" Target="webSettings.xml"/><Relationship Id="rId15" Type="http://schemas.openxmlformats.org/officeDocument/2006/relationships/hyperlink" Target="https://unesdoc.unesco.org/ark:/48223/pf0000246931.locale=en" TargetMode="External"/><Relationship Id="rId10" Type="http://schemas.openxmlformats.org/officeDocument/2006/relationships/hyperlink" Target="https://unesdoc.unesco.org/ark:/48223/pf0000392712.locale=e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unesdoc.unesco.org/ark:/48223/pf0000392653.locale=en" TargetMode="External"/><Relationship Id="rId14" Type="http://schemas.openxmlformats.org/officeDocument/2006/relationships/hyperlink" Target="https://tsunamiday.undrr.org/gettohighground-campa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39DF7-E5DC-7049-95C9-ACF8CCA42F4D}">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2068</Words>
  <Characters>11376</Characters>
  <Application>Microsoft Office Word</Application>
  <DocSecurity>4</DocSecurity>
  <Lines>94</Lines>
  <Paragraphs>26</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Résumé exécutif</vt:lpstr>
      <vt:lpstr/>
      <vt:lpstr/>
    </vt:vector>
  </TitlesOfParts>
  <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ejecutivo</dc:title>
  <dc:subject>IOC/TOWS-WG-XVIII/Ex.Sum</dc:subject>
  <dc:creator>Aliaga, Bernardo</dc:creator>
  <cp:keywords/>
  <dc:description/>
  <cp:lastModifiedBy>Boned, Patrice</cp:lastModifiedBy>
  <cp:revision>2</cp:revision>
  <cp:lastPrinted>2022-02-25T11:07:00Z</cp:lastPrinted>
  <dcterms:created xsi:type="dcterms:W3CDTF">2025-05-08T11:50:00Z</dcterms:created>
  <dcterms:modified xsi:type="dcterms:W3CDTF">2025-05-08T11:50:00Z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With">
    <vt:lpwstr>Mercury</vt:lpwstr>
  </property>
  <property fmtid="{D5CDD505-2E9C-101B-9397-08002B2CF9AE}" pid="3" name="GeneratedBy">
    <vt:lpwstr>e.mauroy@unesco.org</vt:lpwstr>
  </property>
  <property fmtid="{D5CDD505-2E9C-101B-9397-08002B2CF9AE}" pid="4" name="GeneratedDate">
    <vt:lpwstr>04/15/2025 12:44:40</vt:lpwstr>
  </property>
  <property fmtid="{D5CDD505-2E9C-101B-9397-08002B2CF9AE}" pid="5" name="OriginalDocID">
    <vt:lpwstr>c88d28d6-4a85-449d-a49a-f74ece83992c</vt:lpwstr>
  </property>
  <property fmtid="{D5CDD505-2E9C-101B-9397-08002B2CF9AE}" pid="6" name="Language">
    <vt:lpwstr>S</vt:lpwstr>
  </property>
  <property fmtid="{D5CDD505-2E9C-101B-9397-08002B2CF9AE}" pid="7" name="JobNumber">
    <vt:lpwstr>2500398S</vt:lpwstr>
  </property>
  <property fmtid="{D5CDD505-2E9C-101B-9397-08002B2CF9AE}" pid="8" name="ForceJobNumber">
    <vt:bool>false</vt:bool>
  </property>
</Properties>
</file>