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7A771" w14:textId="77777777" w:rsidR="00A6612C" w:rsidRPr="00A6612C" w:rsidRDefault="00A6612C" w:rsidP="00A6612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3"/>
          <w:tab w:val="left" w:pos="6480"/>
        </w:tabs>
        <w:jc w:val="center"/>
        <w:rPr>
          <w:rFonts w:eastAsia="SimSun" w:cs="Arial"/>
          <w:b/>
          <w:sz w:val="24"/>
          <w:lang w:eastAsia="zh-CN"/>
        </w:rPr>
      </w:pPr>
      <w:r w:rsidRPr="00A6612C">
        <w:rPr>
          <w:rFonts w:eastAsia="SimSun" w:cs="Arial"/>
          <w:b/>
          <w:bCs/>
          <w:sz w:val="24"/>
          <w:lang w:eastAsia="zh-CN"/>
        </w:rPr>
        <w:t>Межправительственная океанографическая комиссия</w:t>
      </w:r>
    </w:p>
    <w:p w14:paraId="625F60B5" w14:textId="77777777" w:rsidR="00A6612C" w:rsidRPr="00A6612C" w:rsidRDefault="00A6612C" w:rsidP="00A6612C">
      <w:pPr>
        <w:tabs>
          <w:tab w:val="left" w:pos="-1440"/>
          <w:tab w:val="left" w:pos="-720"/>
          <w:tab w:val="left" w:pos="720"/>
          <w:tab w:val="left" w:pos="2160"/>
          <w:tab w:val="left" w:pos="3600"/>
          <w:tab w:val="left" w:pos="4320"/>
          <w:tab w:val="left" w:pos="5040"/>
          <w:tab w:val="left" w:pos="5523"/>
          <w:tab w:val="left" w:pos="6480"/>
        </w:tabs>
        <w:spacing w:after="240"/>
        <w:jc w:val="center"/>
        <w:rPr>
          <w:rFonts w:eastAsia="SimSun" w:cs="Arial"/>
          <w:bCs/>
          <w:szCs w:val="22"/>
          <w:lang w:eastAsia="zh-CN"/>
        </w:rPr>
      </w:pPr>
      <w:r w:rsidRPr="00A6612C">
        <w:rPr>
          <w:rFonts w:eastAsia="SimSun" w:cs="Arial"/>
          <w:szCs w:val="22"/>
          <w:lang w:eastAsia="zh-CN"/>
        </w:rPr>
        <w:t>(ЮНЕСКО)</w:t>
      </w:r>
    </w:p>
    <w:p w14:paraId="000DE49D" w14:textId="77777777" w:rsidR="00A6612C" w:rsidRPr="00A6612C" w:rsidRDefault="00A6612C" w:rsidP="00A6612C">
      <w:pPr>
        <w:tabs>
          <w:tab w:val="left" w:pos="-1440"/>
          <w:tab w:val="left" w:pos="-720"/>
          <w:tab w:val="left" w:pos="720"/>
          <w:tab w:val="left" w:pos="1420"/>
          <w:tab w:val="left" w:pos="2160"/>
          <w:tab w:val="left" w:pos="3600"/>
          <w:tab w:val="left" w:pos="4320"/>
          <w:tab w:val="center" w:pos="4677"/>
          <w:tab w:val="left" w:pos="5040"/>
          <w:tab w:val="left" w:pos="5523"/>
          <w:tab w:val="left" w:pos="6480"/>
        </w:tabs>
        <w:jc w:val="center"/>
        <w:rPr>
          <w:rFonts w:eastAsia="SimSun" w:cs="Arial"/>
          <w:b/>
          <w:szCs w:val="22"/>
          <w:lang w:eastAsia="zh-CN"/>
        </w:rPr>
      </w:pPr>
      <w:r w:rsidRPr="00A6612C">
        <w:rPr>
          <w:rFonts w:eastAsia="SimSun" w:cs="Arial"/>
          <w:b/>
          <w:bCs/>
          <w:szCs w:val="22"/>
          <w:lang w:eastAsia="zh-CN"/>
        </w:rPr>
        <w:t>Тридцать третья сессия Ассамблеи</w:t>
      </w:r>
    </w:p>
    <w:p w14:paraId="3007FAE2" w14:textId="77777777" w:rsidR="00A6612C" w:rsidRPr="00A6612C" w:rsidRDefault="00A6612C" w:rsidP="00A6612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3"/>
          <w:tab w:val="left" w:pos="6480"/>
        </w:tabs>
        <w:spacing w:after="480"/>
        <w:jc w:val="center"/>
        <w:rPr>
          <w:rFonts w:eastAsia="SimSun" w:cs="Arial"/>
          <w:b/>
          <w:szCs w:val="22"/>
          <w:lang w:eastAsia="zh-CN"/>
        </w:rPr>
      </w:pPr>
      <w:r w:rsidRPr="00A6612C">
        <w:rPr>
          <w:rFonts w:eastAsia="SimSun" w:cs="Arial"/>
          <w:szCs w:val="22"/>
          <w:lang w:eastAsia="zh-CN"/>
        </w:rPr>
        <w:t>ЮНЕСКО, Париж, 25 июня – 3 июля 2025 г.</w:t>
      </w:r>
    </w:p>
    <w:p w14:paraId="159257BB" w14:textId="77777777" w:rsidR="00A6612C" w:rsidRPr="00AA2CD5" w:rsidRDefault="00A6612C" w:rsidP="00A6612C">
      <w:pPr>
        <w:pStyle w:val="Heading7"/>
        <w:tabs>
          <w:tab w:val="left" w:pos="5920"/>
        </w:tabs>
        <w:spacing w:line="240" w:lineRule="auto"/>
        <w:rPr>
          <w:rFonts w:cs="Arial"/>
          <w:sz w:val="24"/>
        </w:rPr>
      </w:pPr>
      <w:r>
        <w:rPr>
          <w:sz w:val="24"/>
        </w:rPr>
        <w:t xml:space="preserve">Пункт </w:t>
      </w:r>
      <w:r>
        <w:rPr>
          <w:b/>
          <w:sz w:val="24"/>
        </w:rPr>
        <w:t>3.5</w:t>
      </w:r>
      <w:r>
        <w:rPr>
          <w:sz w:val="24"/>
        </w:rPr>
        <w:t xml:space="preserve"> предварительной повестки дня</w:t>
      </w:r>
    </w:p>
    <w:p w14:paraId="2A3C6246" w14:textId="77777777" w:rsidR="00A6612C" w:rsidRPr="005E544C" w:rsidRDefault="00A6612C" w:rsidP="00A6612C">
      <w:pPr>
        <w:rPr>
          <w:rFonts w:cs="Arial"/>
          <w:szCs w:val="22"/>
        </w:rPr>
      </w:pPr>
    </w:p>
    <w:p w14:paraId="6992D9E4" w14:textId="77777777" w:rsidR="00A6612C" w:rsidRPr="005E544C" w:rsidRDefault="00A6612C" w:rsidP="00A6612C">
      <w:pPr>
        <w:rPr>
          <w:rFonts w:cs="Arial"/>
          <w:szCs w:val="22"/>
        </w:rPr>
      </w:pPr>
    </w:p>
    <w:p w14:paraId="41BDDE17" w14:textId="63315136" w:rsidR="00A6612C" w:rsidRPr="00A6612C" w:rsidRDefault="00A6612C" w:rsidP="00A6612C">
      <w:pPr>
        <w:pStyle w:val="Docheading"/>
        <w:spacing w:after="360"/>
        <w:rPr>
          <w:color w:val="000000"/>
          <w:sz w:val="28"/>
          <w:szCs w:val="28"/>
        </w:rPr>
      </w:pPr>
      <w:r w:rsidRPr="00A6612C">
        <w:rPr>
          <w:caps w:val="0"/>
          <w:color w:val="000000"/>
          <w:sz w:val="28"/>
          <w:szCs w:val="28"/>
        </w:rPr>
        <w:t>Доклад о деятельности МОК в 2024-2025 гг., подлежащий</w:t>
      </w:r>
      <w:r w:rsidR="00A27BD9" w:rsidRPr="00A27BD9">
        <w:rPr>
          <w:caps w:val="0"/>
          <w:color w:val="000000"/>
          <w:sz w:val="28"/>
          <w:szCs w:val="28"/>
        </w:rPr>
        <w:br/>
      </w:r>
      <w:r w:rsidRPr="00A6612C">
        <w:rPr>
          <w:caps w:val="0"/>
          <w:color w:val="000000"/>
          <w:sz w:val="28"/>
          <w:szCs w:val="28"/>
        </w:rPr>
        <w:t>представлению на 43-й сессии Генеральной конференции ЮНЕСКО</w:t>
      </w:r>
    </w:p>
    <w:p w14:paraId="2BFDDF2A" w14:textId="77777777" w:rsidR="00A6612C" w:rsidRPr="00515584" w:rsidRDefault="00A6612C" w:rsidP="00A6612C">
      <w:pPr>
        <w:pStyle w:val="Header"/>
        <w:rPr>
          <w:rFonts w:cs="Arial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B83068" w:rsidRPr="00244B7D" w14:paraId="6E70F37C" w14:textId="77777777" w:rsidTr="00A6612C">
        <w:trPr>
          <w:jc w:val="center"/>
        </w:trPr>
        <w:tc>
          <w:tcPr>
            <w:tcW w:w="9351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3D9152E" w14:textId="77777777" w:rsidR="00467E3F" w:rsidRPr="001D7776" w:rsidRDefault="00B83068" w:rsidP="00A6612C">
            <w:pPr>
              <w:pStyle w:val="Marge"/>
              <w:ind w:left="104" w:right="118"/>
              <w:jc w:val="center"/>
              <w:rPr>
                <w:rFonts w:cs="Arial"/>
                <w:b/>
                <w:bCs/>
                <w:szCs w:val="22"/>
              </w:rPr>
            </w:pPr>
            <w:r w:rsidRPr="001D7776">
              <w:rPr>
                <w:rFonts w:cs="Arial"/>
                <w:b/>
                <w:bCs/>
                <w:szCs w:val="22"/>
                <w:u w:val="single"/>
              </w:rPr>
              <w:t>Резюме</w:t>
            </w:r>
          </w:p>
          <w:p w14:paraId="3B7AF194" w14:textId="36BBD8D2" w:rsidR="008205F0" w:rsidRPr="00244B7D" w:rsidRDefault="000D16AC" w:rsidP="00A6612C">
            <w:pPr>
              <w:pStyle w:val="Marge"/>
              <w:spacing w:after="200"/>
              <w:ind w:left="104" w:right="118"/>
              <w:rPr>
                <w:rFonts w:cs="Arial"/>
                <w:szCs w:val="22"/>
              </w:rPr>
            </w:pPr>
            <w:r w:rsidRPr="00244B7D">
              <w:rPr>
                <w:rFonts w:cs="Arial"/>
                <w:szCs w:val="22"/>
              </w:rPr>
              <w:t>В соответствии со статьей 3.2 Устава Межправительственной океанографической комиссии (</w:t>
            </w:r>
            <w:hyperlink r:id="rId8" w:history="1">
              <w:r w:rsidRPr="00244B7D">
                <w:rPr>
                  <w:rStyle w:val="Hyperlink"/>
                  <w:rFonts w:cs="Arial"/>
                  <w:szCs w:val="22"/>
                </w:rPr>
                <w:t>IOC/INF/1148</w:t>
              </w:r>
            </w:hyperlink>
            <w:r w:rsidRPr="00244B7D">
              <w:rPr>
                <w:rFonts w:cs="Arial"/>
                <w:szCs w:val="22"/>
              </w:rPr>
              <w:t>) и статьей 49.2 Правил процедуры (</w:t>
            </w:r>
            <w:hyperlink r:id="rId9" w:history="1">
              <w:r w:rsidRPr="00244B7D">
                <w:rPr>
                  <w:rStyle w:val="Hyperlink"/>
                  <w:rFonts w:cs="Arial"/>
                  <w:szCs w:val="22"/>
                </w:rPr>
                <w:t>IOC/INF/1166</w:t>
              </w:r>
            </w:hyperlink>
            <w:r w:rsidRPr="00244B7D">
              <w:rPr>
                <w:rFonts w:cs="Arial"/>
                <w:szCs w:val="22"/>
              </w:rPr>
              <w:t>) МОК на регулярной основе готовит доклады о своей деятельности, которые затем представляются на рассмотрение Генеральной конференции ЮНЕСКО. Настоящий доклад охватывает период 2024-2025 гг. и посвящен основным результатам деятельности во втором двухлетии Программы и бюджета, утвержденных для Межправительственной океанографической комиссии (2024-2025 гг.)</w:t>
            </w:r>
            <w:r w:rsidR="00244B7D" w:rsidRPr="00244B7D">
              <w:rPr>
                <w:rFonts w:cs="Arial"/>
                <w:szCs w:val="22"/>
              </w:rPr>
              <w:t>,</w:t>
            </w:r>
            <w:r w:rsidRPr="00244B7D">
              <w:rPr>
                <w:rFonts w:cs="Arial"/>
                <w:szCs w:val="22"/>
              </w:rPr>
              <w:t xml:space="preserve"> в частности реализации </w:t>
            </w:r>
            <w:r w:rsidRPr="00244B7D">
              <w:rPr>
                <w:rFonts w:cs="Arial"/>
                <w:i/>
                <w:szCs w:val="22"/>
              </w:rPr>
              <w:t>Среднесрочной стратегии МОК на 2022-2029 гг.</w:t>
            </w:r>
            <w:r w:rsidRPr="00244B7D">
              <w:rPr>
                <w:rFonts w:cs="Arial"/>
                <w:szCs w:val="22"/>
              </w:rPr>
              <w:t xml:space="preserve"> и достижению целей верхнего уровня (ЦВУ), а также вкладу МОК в осуществление Среднесрочной стратегии ЮНЕСКО на 2022-2029 гг. (41 C/4), а именно в достижение стратегической цели 2 («Деятельность в интересах создания устойчивых обществ и охраны окружающей среды посредством популяризации науки, технологии, инноваций и природного наследия») и итогового результата 3 (Расширение знаний в поддержку деятельности, связанной с климатом, сохранения биоразнообразия, управления водными ресурсами и океаном и уменьшения опасности бедствий»).</w:t>
            </w:r>
          </w:p>
          <w:p w14:paraId="6CBB59C0" w14:textId="77777777" w:rsidR="008205F0" w:rsidRPr="00244B7D" w:rsidRDefault="00515584" w:rsidP="00A6612C">
            <w:pPr>
              <w:pStyle w:val="Marge"/>
              <w:spacing w:after="200"/>
              <w:ind w:left="104" w:right="118"/>
              <w:rPr>
                <w:rFonts w:cs="Arial"/>
                <w:color w:val="000000"/>
                <w:szCs w:val="22"/>
              </w:rPr>
            </w:pPr>
            <w:r w:rsidRPr="00244B7D">
              <w:rPr>
                <w:rFonts w:cs="Arial"/>
                <w:szCs w:val="22"/>
              </w:rPr>
              <w:t>После рассмотрения Ассамблеей настоящий доклад будет представлен 43-й сессии Генеральной конференции ЮНЕСКО в качестве документа 43 C/REP/</w:t>
            </w:r>
            <w:r w:rsidRPr="00A6612C">
              <w:rPr>
                <w:rFonts w:cs="Arial"/>
                <w:szCs w:val="22"/>
              </w:rPr>
              <w:t>_</w:t>
            </w:r>
            <w:r w:rsidRPr="00244B7D">
              <w:rPr>
                <w:rFonts w:cs="Arial"/>
                <w:szCs w:val="22"/>
              </w:rPr>
              <w:t xml:space="preserve"> с уточнением, что более полная информация, включая анализ в разбивке по функциональным областям МОК, содержится в докладе, представленном Исполнительным секретарем МОК на 33-й сессии Ассамблеи (</w:t>
            </w:r>
            <w:hyperlink r:id="rId10" w:history="1">
              <w:r w:rsidRPr="00244B7D">
                <w:rPr>
                  <w:rStyle w:val="Hyperlink"/>
                  <w:rFonts w:cs="Arial"/>
                  <w:szCs w:val="22"/>
                </w:rPr>
                <w:t>IOC/A-33/3.2.Doc(1)</w:t>
              </w:r>
            </w:hyperlink>
            <w:r w:rsidRPr="00244B7D">
              <w:rPr>
                <w:rFonts w:cs="Arial"/>
                <w:szCs w:val="22"/>
              </w:rPr>
              <w:t xml:space="preserve"> и добавление).</w:t>
            </w:r>
          </w:p>
          <w:p w14:paraId="1082367C" w14:textId="76927C66" w:rsidR="00515584" w:rsidRPr="00244B7D" w:rsidRDefault="00515584" w:rsidP="00A6612C">
            <w:pPr>
              <w:pStyle w:val="Marge"/>
              <w:ind w:left="104" w:right="118"/>
              <w:rPr>
                <w:rFonts w:cs="Arial"/>
                <w:szCs w:val="22"/>
              </w:rPr>
            </w:pPr>
            <w:r w:rsidRPr="00244B7D">
              <w:rPr>
                <w:rFonts w:cs="Arial"/>
                <w:szCs w:val="22"/>
                <w:u w:val="single"/>
              </w:rPr>
              <w:t>Предлагаемое решение</w:t>
            </w:r>
            <w:r w:rsidRPr="00244B7D">
              <w:rPr>
                <w:rFonts w:cs="Arial"/>
                <w:szCs w:val="22"/>
              </w:rPr>
              <w:t xml:space="preserve"> упоминается в предварительном документе о принятых и предлагаемых мерах (</w:t>
            </w:r>
            <w:hyperlink r:id="rId11" w:history="1">
              <w:r w:rsidRPr="00244B7D">
                <w:rPr>
                  <w:rStyle w:val="Hyperlink"/>
                  <w:rFonts w:cs="Arial"/>
                  <w:szCs w:val="22"/>
                </w:rPr>
                <w:t>IOC/A-33/AP</w:t>
              </w:r>
            </w:hyperlink>
            <w:r w:rsidRPr="00244B7D">
              <w:rPr>
                <w:rFonts w:cs="Arial"/>
                <w:szCs w:val="22"/>
              </w:rPr>
              <w:t xml:space="preserve">) 33-й сессии Ассамблеи МОК как </w:t>
            </w:r>
            <w:proofErr w:type="spellStart"/>
            <w:r w:rsidRPr="00244B7D">
              <w:rPr>
                <w:rFonts w:cs="Arial"/>
                <w:szCs w:val="22"/>
              </w:rPr>
              <w:t>Реш</w:t>
            </w:r>
            <w:proofErr w:type="spellEnd"/>
            <w:r w:rsidRPr="00244B7D">
              <w:rPr>
                <w:rFonts w:cs="Arial"/>
                <w:szCs w:val="22"/>
              </w:rPr>
              <w:t>. IOC-33/3.5.</w:t>
            </w:r>
          </w:p>
        </w:tc>
      </w:tr>
    </w:tbl>
    <w:p w14:paraId="7E39BDFA" w14:textId="2724C787" w:rsidR="00746B89" w:rsidRPr="00244B7D" w:rsidRDefault="00746B89" w:rsidP="005C7A36">
      <w:pPr>
        <w:pStyle w:val="Heading3"/>
        <w:rPr>
          <w:rFonts w:cs="Arial"/>
        </w:rPr>
        <w:sectPr w:rsidR="00746B89" w:rsidRPr="00244B7D" w:rsidSect="00A6612C">
          <w:headerReference w:type="even" r:id="rId12"/>
          <w:headerReference w:type="default" r:id="rId13"/>
          <w:headerReference w:type="first" r:id="rId14"/>
          <w:type w:val="continuous"/>
          <w:pgSz w:w="11906" w:h="16838" w:code="9"/>
          <w:pgMar w:top="1418" w:right="1134" w:bottom="1134" w:left="1134" w:header="709" w:footer="680" w:gutter="0"/>
          <w:pgNumType w:start="1"/>
          <w:cols w:space="708"/>
          <w:titlePg/>
          <w:docGrid w:linePitch="360"/>
        </w:sectPr>
      </w:pPr>
    </w:p>
    <w:p w14:paraId="5EFCB24C" w14:textId="77777777" w:rsidR="000B7E2A" w:rsidRPr="00244B7D" w:rsidRDefault="000B7E2A" w:rsidP="00454BFB">
      <w:pPr>
        <w:keepNext/>
        <w:keepLines/>
        <w:widowControl w:val="0"/>
        <w:tabs>
          <w:tab w:val="left" w:pos="0"/>
        </w:tabs>
        <w:adjustRightInd w:val="0"/>
        <w:spacing w:after="240"/>
        <w:jc w:val="both"/>
        <w:textAlignment w:val="baseline"/>
        <w:outlineLvl w:val="1"/>
        <w:rPr>
          <w:rFonts w:cs="Arial"/>
          <w:b/>
          <w:bCs/>
          <w:caps/>
          <w:color w:val="000000" w:themeColor="text1"/>
          <w:szCs w:val="22"/>
        </w:rPr>
      </w:pPr>
      <w:r w:rsidRPr="00244B7D">
        <w:rPr>
          <w:rFonts w:cs="Arial"/>
          <w:b/>
          <w:bCs/>
          <w:color w:val="000000" w:themeColor="text1"/>
          <w:szCs w:val="22"/>
        </w:rPr>
        <w:lastRenderedPageBreak/>
        <w:t>Стратегическая оценка достигнутых результатов</w:t>
      </w:r>
    </w:p>
    <w:p w14:paraId="62038BD1" w14:textId="77777777" w:rsidR="008205F0" w:rsidRPr="00244B7D" w:rsidRDefault="000B7E2A" w:rsidP="00454BFB">
      <w:pPr>
        <w:pStyle w:val="ListParagraph"/>
        <w:numPr>
          <w:ilvl w:val="0"/>
          <w:numId w:val="42"/>
        </w:numPr>
        <w:tabs>
          <w:tab w:val="left" w:pos="0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 w:cs="Arial"/>
          <w:sz w:val="22"/>
          <w:szCs w:val="22"/>
        </w:rPr>
      </w:pPr>
      <w:r w:rsidRPr="00244B7D">
        <w:rPr>
          <w:rFonts w:ascii="Arial" w:hAnsi="Arial" w:cs="Arial"/>
          <w:sz w:val="22"/>
          <w:szCs w:val="22"/>
        </w:rPr>
        <w:t xml:space="preserve">Устав МОК предусматривает выполнение Комиссией двуединой задачи. Во-первых, это </w:t>
      </w:r>
      <w:r w:rsidRPr="00244B7D">
        <w:rPr>
          <w:rFonts w:ascii="Arial" w:hAnsi="Arial" w:cs="Arial"/>
          <w:i/>
          <w:sz w:val="22"/>
          <w:szCs w:val="22"/>
        </w:rPr>
        <w:t>«содействие международному сотрудничеству и координация программ, касающихся научно-исследовательской деятельности, океанографического обслуживания и укрепления потенциала в интересах расширения знаний о состоянии и ресурсах морских акваторий и прибрежных районов»</w:t>
      </w:r>
      <w:r w:rsidRPr="00244B7D">
        <w:rPr>
          <w:rFonts w:ascii="Arial" w:hAnsi="Arial" w:cs="Arial"/>
          <w:sz w:val="22"/>
          <w:szCs w:val="22"/>
        </w:rPr>
        <w:t xml:space="preserve">. А во-вторых, </w:t>
      </w:r>
      <w:r w:rsidRPr="00244B7D">
        <w:rPr>
          <w:rFonts w:ascii="Arial" w:hAnsi="Arial" w:cs="Arial"/>
          <w:i/>
          <w:sz w:val="22"/>
          <w:szCs w:val="22"/>
        </w:rPr>
        <w:t>«применение этих знаний в целях рачительной эксплуатации, повышения жизнеспособности и более эффективной защиты морских экосистем, а также их использование в процессе принятия государствами-членами соответствующих решений»</w:t>
      </w:r>
      <w:r w:rsidRPr="00244B7D">
        <w:rPr>
          <w:rFonts w:ascii="Arial" w:hAnsi="Arial" w:cs="Arial"/>
          <w:sz w:val="22"/>
          <w:szCs w:val="22"/>
        </w:rPr>
        <w:t xml:space="preserve">. Статья 2.1 </w:t>
      </w:r>
      <w:hyperlink r:id="rId15" w:history="1">
        <w:r w:rsidRPr="00244B7D">
          <w:rPr>
            <w:rStyle w:val="Hyperlink"/>
            <w:rFonts w:ascii="Arial" w:hAnsi="Arial" w:cs="Arial"/>
            <w:sz w:val="22"/>
            <w:szCs w:val="22"/>
          </w:rPr>
          <w:t>Устава МОК</w:t>
        </w:r>
      </w:hyperlink>
      <w:r w:rsidRPr="00244B7D">
        <w:rPr>
          <w:rFonts w:ascii="Arial" w:hAnsi="Arial" w:cs="Arial"/>
          <w:sz w:val="22"/>
          <w:szCs w:val="22"/>
        </w:rPr>
        <w:t>.</w:t>
      </w:r>
    </w:p>
    <w:p w14:paraId="50273110" w14:textId="77777777" w:rsidR="008205F0" w:rsidRPr="00244B7D" w:rsidRDefault="000B7E2A" w:rsidP="00454BFB">
      <w:pPr>
        <w:pStyle w:val="ListParagraph"/>
        <w:numPr>
          <w:ilvl w:val="0"/>
          <w:numId w:val="42"/>
        </w:numPr>
        <w:tabs>
          <w:tab w:val="left" w:pos="0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 w:cs="Arial"/>
          <w:sz w:val="22"/>
          <w:szCs w:val="22"/>
        </w:rPr>
      </w:pPr>
      <w:r w:rsidRPr="00244B7D">
        <w:rPr>
          <w:rFonts w:ascii="Arial" w:hAnsi="Arial" w:cs="Arial"/>
          <w:sz w:val="22"/>
          <w:szCs w:val="22"/>
        </w:rPr>
        <w:t xml:space="preserve">Процесс накопления знаний начинается с постоянного наблюдения за состоянием океана, что позволяет получать океанографические данные, необходимые для проведения научных исследований, оценки состояния и моделирования прогнозов. Данный подход нашел отражение при формулировании руководящими органами МОК приоритетных задач на рассматриваемый бюджетный период и определил направленность работы Комиссии. В свете увеличения по просьбе государств-членов доли ассигнований для МОК в рамках обычного бюджета ЮНЕСКО на 2024-2025 гг. (42 С/5) до 3% использование накопленных знаний, являющееся, как указано выше, второй частью двуединой задачи МОК, приобретает все большее значение в контексте повсеместного укрепления систем управления </w:t>
      </w:r>
      <w:proofErr w:type="spellStart"/>
      <w:r w:rsidRPr="00244B7D">
        <w:rPr>
          <w:rFonts w:ascii="Arial" w:hAnsi="Arial" w:cs="Arial"/>
          <w:sz w:val="22"/>
          <w:szCs w:val="22"/>
        </w:rPr>
        <w:t>морепользованием</w:t>
      </w:r>
      <w:proofErr w:type="spellEnd"/>
      <w:r w:rsidRPr="00244B7D">
        <w:rPr>
          <w:rFonts w:ascii="Arial" w:hAnsi="Arial" w:cs="Arial"/>
          <w:sz w:val="22"/>
          <w:szCs w:val="22"/>
        </w:rPr>
        <w:t xml:space="preserve"> и повышения роли региональных планов и программ развития и механизмов управления в этой области. Активизация деятельности МОК в сфере наблюдения за состоянием океана и сбора океанографических данных позволила обеспечить оказание услуг и создание информационных продуктов, необходимых, например, для мониторинга состояния морской среды в рамках реализации </w:t>
      </w:r>
      <w:proofErr w:type="spellStart"/>
      <w:r w:rsidRPr="00244B7D">
        <w:rPr>
          <w:rFonts w:ascii="Arial" w:hAnsi="Arial" w:cs="Arial"/>
          <w:sz w:val="22"/>
          <w:szCs w:val="22"/>
        </w:rPr>
        <w:t>Куньминско</w:t>
      </w:r>
      <w:proofErr w:type="spellEnd"/>
      <w:r w:rsidRPr="00244B7D">
        <w:rPr>
          <w:rFonts w:ascii="Arial" w:hAnsi="Arial" w:cs="Arial"/>
          <w:sz w:val="22"/>
          <w:szCs w:val="22"/>
        </w:rPr>
        <w:t>-Монреальской глобальной рамочной программы в области биоразнообразия, Соглашения по БПНЮ и рамочных программ, связанных с загрязнением морской среды, а также способствовала укреплению роли МОК в качестве глобального партнера, представляющего научное сообщество, в поддержку усилий в области рационального планирования морской деятельности.</w:t>
      </w:r>
    </w:p>
    <w:p w14:paraId="57C26628" w14:textId="3D17ABD0" w:rsidR="000B7E2A" w:rsidRPr="00244B7D" w:rsidRDefault="000B7E2A" w:rsidP="00454BFB">
      <w:pPr>
        <w:pStyle w:val="ListParagraph"/>
        <w:numPr>
          <w:ilvl w:val="0"/>
          <w:numId w:val="42"/>
        </w:numPr>
        <w:tabs>
          <w:tab w:val="left" w:pos="0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 w:cs="Arial"/>
          <w:sz w:val="22"/>
          <w:szCs w:val="22"/>
        </w:rPr>
      </w:pPr>
      <w:r w:rsidRPr="00244B7D">
        <w:rPr>
          <w:rFonts w:ascii="Arial" w:hAnsi="Arial" w:cs="Arial"/>
          <w:sz w:val="22"/>
          <w:szCs w:val="22"/>
        </w:rPr>
        <w:t>Эта двуединая задача – накопление и применение научных знаний – согласуется с принципами, положенными в основу Десятилетия ООН, посвященного науке об океане в интересах устойчивого развития (2021-2030 гг.), координатором проведения которого является МОК. Программы и проекты, осуществляемые под руководством Комиссии в рамках Десятилетия науки об океане, охватывают широкий спектр направлений работы: от наблюдения за состоянием морской среды и сбора океанографических данных до проведения морских научных исследований и рационального планирования морской деятельности. Осуществляемые программы и проекты выполняют функцию испытательных лабораторий, в которых апробируются нацеленные на коренные изменения подходы по оперативному предоставлению полученных на основе взаимодействия актуальных и научно подтвержденных данных, напрямую применимых для выработки директивных мер. Десятилетие, посвященное науке об океане, обеспечивает рамочную основу для реализации МОК проектов и программ с использованием новых подходов и с участием новых партнеров. При этом особое внимание уделяется решению конкретных неотложных проблем и задач, сформулированных в докладе о достигнутых и ожидаемых результатах «На пути к 2030 году», которые были затем обобщенно изложены в Барселонском заявлении, принятом участниками Международной конференции, посвященной Десятилетию науки об океане и среднесрочной оценке достигнутого прогресса (2024 г.). Конференция Организации Объединенных Наций по Мировому океану (2025 г.) предоставила исключительно важную возможность активизировать инициативы в области океанографических наблюдений, картирования морского дна и повышения доступности применимых на практике данных о состоянии морской среды в поддержку принятия научно обоснованных решений и международного сотрудничества в вопросах неистощительного использования ресурсов Мирового океана.</w:t>
      </w:r>
    </w:p>
    <w:p w14:paraId="1E8E70D0" w14:textId="7B65FD92" w:rsidR="00137BED" w:rsidRPr="00244B7D" w:rsidRDefault="00137BED" w:rsidP="00454BFB">
      <w:pPr>
        <w:keepNext/>
        <w:tabs>
          <w:tab w:val="left" w:pos="0"/>
        </w:tabs>
        <w:spacing w:after="240"/>
        <w:jc w:val="both"/>
        <w:rPr>
          <w:rFonts w:cs="Arial"/>
          <w:b/>
          <w:bCs/>
          <w:color w:val="000000" w:themeColor="text1"/>
          <w:szCs w:val="22"/>
        </w:rPr>
      </w:pPr>
      <w:r w:rsidRPr="00244B7D">
        <w:rPr>
          <w:rFonts w:cs="Arial"/>
          <w:b/>
          <w:bCs/>
          <w:color w:val="000000" w:themeColor="text1"/>
          <w:szCs w:val="22"/>
        </w:rPr>
        <w:lastRenderedPageBreak/>
        <w:t>Наиболее значимые достижения в разбивке по функциональным направлениям деятельности МОК</w:t>
      </w:r>
    </w:p>
    <w:p w14:paraId="56B3BEA3" w14:textId="3506DAA2" w:rsidR="003E0E67" w:rsidRPr="00244B7D" w:rsidRDefault="003E0E67" w:rsidP="00454BFB">
      <w:pPr>
        <w:pStyle w:val="ListParagraph"/>
        <w:keepNext/>
        <w:numPr>
          <w:ilvl w:val="0"/>
          <w:numId w:val="42"/>
        </w:numPr>
        <w:tabs>
          <w:tab w:val="left" w:pos="0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 w:cs="Arial"/>
          <w:sz w:val="22"/>
          <w:szCs w:val="22"/>
        </w:rPr>
      </w:pPr>
      <w:r w:rsidRPr="00244B7D">
        <w:rPr>
          <w:rFonts w:ascii="Arial" w:hAnsi="Arial" w:cs="Arial"/>
          <w:sz w:val="22"/>
          <w:szCs w:val="22"/>
        </w:rPr>
        <w:t xml:space="preserve">В опубликованном </w:t>
      </w:r>
      <w:hyperlink r:id="rId16" w:history="1">
        <w:r w:rsidRPr="00244B7D">
          <w:rPr>
            <w:rStyle w:val="Hyperlink"/>
            <w:rFonts w:ascii="Arial" w:hAnsi="Arial" w:cs="Arial"/>
            <w:sz w:val="22"/>
            <w:szCs w:val="22"/>
          </w:rPr>
          <w:t>в июне 2024 г.</w:t>
        </w:r>
      </w:hyperlink>
      <w:r w:rsidR="00244B7D" w:rsidRPr="00244B7D">
        <w:rPr>
          <w:rFonts w:ascii="Arial" w:hAnsi="Arial" w:cs="Arial"/>
          <w:sz w:val="22"/>
          <w:szCs w:val="22"/>
        </w:rPr>
        <w:t xml:space="preserve"> </w:t>
      </w:r>
      <w:r w:rsidRPr="00244B7D">
        <w:rPr>
          <w:rFonts w:ascii="Arial" w:hAnsi="Arial" w:cs="Arial"/>
          <w:i/>
          <w:sz w:val="22"/>
          <w:szCs w:val="22"/>
        </w:rPr>
        <w:t>Докладе МОК о состоянии Мирового океана (ДСМО)</w:t>
      </w:r>
      <w:r w:rsidRPr="00244B7D">
        <w:rPr>
          <w:rFonts w:ascii="Arial" w:hAnsi="Arial" w:cs="Arial"/>
          <w:sz w:val="22"/>
          <w:szCs w:val="22"/>
        </w:rPr>
        <w:t xml:space="preserve"> были представлены результаты связанных с океаном научных исследований, а также аналитические выводы в отношении нынешнего и прогнозируемого в будущем состояния Мирового океана, в том числе его физических, химических и экологических параметров, а также социально-экономических и управленческих аспектов, с акцентом на достижении семи ожидаемых по итогам Десятилетия результатов. В настоящее время ведется </w:t>
      </w:r>
      <w:r w:rsidR="00244B7D" w:rsidRPr="00244B7D">
        <w:rPr>
          <w:rFonts w:ascii="Arial" w:hAnsi="Arial" w:cs="Arial"/>
          <w:sz w:val="22"/>
          <w:szCs w:val="22"/>
        </w:rPr>
        <w:t>подготовка</w:t>
      </w:r>
      <w:r w:rsidRPr="00244B7D">
        <w:rPr>
          <w:rFonts w:ascii="Arial" w:hAnsi="Arial" w:cs="Arial"/>
          <w:sz w:val="22"/>
          <w:szCs w:val="22"/>
        </w:rPr>
        <w:t xml:space="preserve"> издания доклада 2026 г.</w:t>
      </w:r>
    </w:p>
    <w:p w14:paraId="48A54BA1" w14:textId="0A03CA5C" w:rsidR="003E0E67" w:rsidRPr="00244B7D" w:rsidRDefault="003E0E67" w:rsidP="00454BFB">
      <w:pPr>
        <w:pStyle w:val="ListParagraph"/>
        <w:numPr>
          <w:ilvl w:val="0"/>
          <w:numId w:val="42"/>
        </w:numPr>
        <w:tabs>
          <w:tab w:val="left" w:pos="0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 w:cs="Arial"/>
          <w:sz w:val="22"/>
          <w:szCs w:val="22"/>
        </w:rPr>
      </w:pPr>
      <w:r w:rsidRPr="00244B7D">
        <w:rPr>
          <w:rFonts w:ascii="Arial" w:hAnsi="Arial" w:cs="Arial"/>
          <w:sz w:val="22"/>
          <w:szCs w:val="22"/>
        </w:rPr>
        <w:t>Представленная МОК подборка данных по показателю достижения ЦУР 14.3.1 «Средняя кислотность (pH) морской воды, измеряемая в согласованной группе репрезентативных станций отбора проб», содержала информацию, предоставленную возросшим количеством стран и полученную с большего числа станций (2021 г. – 178 станций</w:t>
      </w:r>
      <w:r w:rsidR="00244B7D" w:rsidRPr="00244B7D">
        <w:rPr>
          <w:rFonts w:ascii="Arial" w:hAnsi="Arial" w:cs="Arial"/>
          <w:sz w:val="22"/>
          <w:szCs w:val="22"/>
        </w:rPr>
        <w:t>,</w:t>
      </w:r>
      <w:r w:rsidRPr="00244B7D">
        <w:rPr>
          <w:rFonts w:ascii="Arial" w:hAnsi="Arial" w:cs="Arial"/>
          <w:sz w:val="22"/>
          <w:szCs w:val="22"/>
        </w:rPr>
        <w:t xml:space="preserve"> 2025 г. – 765 станций, принадлежащих 44 странам). Координируемая МОК глобальная сеть экспертов по вопросам закисления океана включает на сегодня 1500 участников из 116 стран (в том числе из 26 стран Африки и 23 МОСРГ). Портфель проектов МОК, касающихся вопросов сохранения, восстановления и устойчивого регулирования запасов «голубого» углерода в прибрежных экосистемах, продолжил пополняться новыми инициативами, в том числе в контексте реализуемой в рамках Десятилетия науки об океане программы по голубому углероду.</w:t>
      </w:r>
    </w:p>
    <w:p w14:paraId="08534638" w14:textId="69E4D05A" w:rsidR="003E0E67" w:rsidRPr="00244B7D" w:rsidRDefault="003E0E67" w:rsidP="00454BFB">
      <w:pPr>
        <w:pStyle w:val="ListParagraph"/>
        <w:numPr>
          <w:ilvl w:val="0"/>
          <w:numId w:val="42"/>
        </w:numPr>
        <w:tabs>
          <w:tab w:val="left" w:pos="0"/>
          <w:tab w:val="left" w:pos="567"/>
        </w:tabs>
        <w:snapToGrid w:val="0"/>
        <w:spacing w:after="240"/>
        <w:ind w:left="0" w:firstLine="0"/>
        <w:contextualSpacing w:val="0"/>
        <w:textDirection w:val="btLr"/>
        <w:rPr>
          <w:rFonts w:ascii="Arial" w:hAnsi="Arial" w:cs="Arial"/>
          <w:sz w:val="22"/>
          <w:szCs w:val="22"/>
        </w:rPr>
      </w:pPr>
      <w:r w:rsidRPr="00244B7D">
        <w:rPr>
          <w:rFonts w:ascii="Arial" w:hAnsi="Arial" w:cs="Arial"/>
          <w:sz w:val="22"/>
          <w:szCs w:val="22"/>
        </w:rPr>
        <w:t>Учитывая важное значение осуществляемых МОК, Организацией Объединенных Наций и другими международными учреждениями совместных программ в плане более активного задействования имеющегося потенциала и содействия укреплению деятельности МОК в интересах общества, а также принимая во внимание тот факт, что подобные программы должны подкрепляться своевременными и отвечающими поставленным задачам соглашениями, МОК провела переговоры о подписании пересмотренного меморандума о взаимопонимании в поддержку Глобальной системы наблюдений за климатом (ГСНК) со Всемирной метеорологической организацией (ВМО), Программой Организации Объединенных Наций по окружающей среде (ЮНЕП) и Международным советом по науке (МСН), сроком на четыре года. Кроме того, в апреле 2024 г. между ЮНЕСКО/МОК и ФАО был подписан меморандум о взаимопонимании, который официально закрепляет совместную спонсорскую поддержку деятельности Межправительственной группы по вредоносному цветению водорослей (МОК-ФАО МГВЦВ). В качестве соучредителя Всемирной программы исследования климата МОК выступила инициатором проведения в мае 2025 г. в Штаб-квартире ЮНЕСКО</w:t>
      </w:r>
      <w:r w:rsidR="00244B7D" w:rsidRPr="00244B7D">
        <w:rPr>
          <w:rFonts w:ascii="Arial" w:hAnsi="Arial" w:cs="Arial"/>
          <w:sz w:val="22"/>
          <w:szCs w:val="22"/>
        </w:rPr>
        <w:t xml:space="preserve"> </w:t>
      </w:r>
      <w:r w:rsidRPr="00244B7D">
        <w:rPr>
          <w:rFonts w:ascii="Arial" w:hAnsi="Arial" w:cs="Arial"/>
          <w:sz w:val="22"/>
          <w:szCs w:val="22"/>
        </w:rPr>
        <w:t>совещания объединенного научного комитета.</w:t>
      </w:r>
    </w:p>
    <w:p w14:paraId="22C51445" w14:textId="2614321F" w:rsidR="008205F0" w:rsidRPr="00244B7D" w:rsidRDefault="003E0E67" w:rsidP="00454BFB">
      <w:pPr>
        <w:pStyle w:val="ListParagraph"/>
        <w:numPr>
          <w:ilvl w:val="0"/>
          <w:numId w:val="42"/>
        </w:numPr>
        <w:tabs>
          <w:tab w:val="left" w:pos="0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 w:cs="Arial"/>
          <w:sz w:val="22"/>
          <w:szCs w:val="22"/>
        </w:rPr>
      </w:pPr>
      <w:r w:rsidRPr="00244B7D">
        <w:rPr>
          <w:rFonts w:ascii="Arial" w:hAnsi="Arial" w:cs="Arial"/>
          <w:sz w:val="22"/>
          <w:szCs w:val="22"/>
        </w:rPr>
        <w:t>Глобальная система наблюдений за океаном (ГСНО) координирует работу более 8700</w:t>
      </w:r>
      <w:r w:rsidR="00FF5832">
        <w:rPr>
          <w:rFonts w:ascii="Arial" w:hAnsi="Arial" w:cs="Arial"/>
          <w:sz w:val="22"/>
          <w:szCs w:val="22"/>
          <w:lang w:val="en-US"/>
        </w:rPr>
        <w:t> </w:t>
      </w:r>
      <w:r w:rsidRPr="00244B7D">
        <w:rPr>
          <w:rFonts w:ascii="Arial" w:hAnsi="Arial" w:cs="Arial"/>
          <w:sz w:val="22"/>
          <w:szCs w:val="22"/>
        </w:rPr>
        <w:t xml:space="preserve">океанографических станций, развернутых в рамках 13 глобальных сетей наблюдения за океаном. Работу указанных станций обеспечивают 84 государства-члена (в том числе десять стран Африки и девять МОСРГ). Ежедневно от измерительных платформ в системы оперативного прогнозирования поступает более 120 000 сообщений о состоянии морской среды, которые фиксируются Совместным центром океанографии и морской метеорологии по поддержке программ наблюдений </w:t>
      </w:r>
      <w:proofErr w:type="spellStart"/>
      <w:r w:rsidRPr="00244B7D">
        <w:rPr>
          <w:rFonts w:ascii="Arial" w:hAnsi="Arial" w:cs="Arial"/>
          <w:sz w:val="22"/>
          <w:szCs w:val="22"/>
        </w:rPr>
        <w:t>in</w:t>
      </w:r>
      <w:proofErr w:type="spellEnd"/>
      <w:r w:rsidRPr="00244B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4B7D">
        <w:rPr>
          <w:rFonts w:ascii="Arial" w:hAnsi="Arial" w:cs="Arial"/>
          <w:sz w:val="22"/>
          <w:szCs w:val="22"/>
        </w:rPr>
        <w:t>situ</w:t>
      </w:r>
      <w:proofErr w:type="spellEnd"/>
      <w:r w:rsidRPr="00244B7D">
        <w:rPr>
          <w:rFonts w:ascii="Arial" w:hAnsi="Arial" w:cs="Arial"/>
          <w:sz w:val="22"/>
          <w:szCs w:val="22"/>
        </w:rPr>
        <w:t xml:space="preserve"> (Океан-ОПС), выполняющим функции оперативного центра ГСНО МОК/ВМО). ГСНО продолжает развивать координацию, комплексное использование и разъяснительную работу в отношении важности повсеместных наблюдений за состоянием океана, а также содействовать расширению круга участвующих заинтересованных сторон и повышению устойчивости и оперативности реагирования глобальной системы наблюдений. В рассматриваемый период были предприняты значительные усилия, направленные на то, чтобы создать на основе отдельных баз данных единую современную архитектуру данных МОК. Совместный совет по сотрудничеству между ВМО и МОК определил приоритетные направления работы, в числе которых создание глобальной базовой сети станций наблюдения (ГБСН) за состоянием морской среды; повышение эффективности работы с данными и их функциональной совместимости; повышение устойчивости к неблагоприятным внешним воздействиям в прибрежных и морских районах; повышение уровня профессиональных знаний </w:t>
      </w:r>
      <w:r w:rsidRPr="00244B7D">
        <w:rPr>
          <w:rFonts w:ascii="Arial" w:hAnsi="Arial" w:cs="Arial"/>
          <w:sz w:val="22"/>
          <w:szCs w:val="22"/>
        </w:rPr>
        <w:lastRenderedPageBreak/>
        <w:t>посредством совместной организации учебных мероприятий и расширения взаимодействия в этой области.</w:t>
      </w:r>
    </w:p>
    <w:p w14:paraId="517AB905" w14:textId="0A921F3D" w:rsidR="003E0E67" w:rsidRPr="00244B7D" w:rsidRDefault="003E0E67" w:rsidP="00454BFB">
      <w:pPr>
        <w:pStyle w:val="ListParagraph"/>
        <w:numPr>
          <w:ilvl w:val="0"/>
          <w:numId w:val="42"/>
        </w:numPr>
        <w:tabs>
          <w:tab w:val="left" w:pos="0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 w:cs="Arial"/>
          <w:sz w:val="22"/>
          <w:szCs w:val="22"/>
        </w:rPr>
      </w:pPr>
      <w:r w:rsidRPr="00244B7D">
        <w:rPr>
          <w:rFonts w:ascii="Arial" w:hAnsi="Arial" w:cs="Arial"/>
          <w:color w:val="212121"/>
          <w:sz w:val="22"/>
          <w:szCs w:val="22"/>
        </w:rPr>
        <w:t xml:space="preserve">Система океанографических данных и информации (ОДИС) представляет собой объединение независимых систем сбора и обработки данных, включая системы данных континентального масштаба, национальные системы сбора и обработки данных, а также информационные системы небольших организаций. </w:t>
      </w:r>
      <w:r w:rsidRPr="00244B7D">
        <w:rPr>
          <w:rFonts w:ascii="Arial" w:hAnsi="Arial" w:cs="Arial"/>
          <w:sz w:val="22"/>
          <w:szCs w:val="22"/>
        </w:rPr>
        <w:t>В настоящее время ОДИС объединяет 55 каталогов или узлов данных, доступ к которым был предоставлен 45 партнерскими организациям, обеспечивая надежную, функционально совместимую и общедоступную цифровую экосистему для всех заинтересованных сторон, деятельность которых связана с океаном. Предполагается, что эта инфраструктура продолжит расширяться.</w:t>
      </w:r>
      <w:r w:rsidRPr="00244B7D">
        <w:rPr>
          <w:rFonts w:ascii="Arial" w:hAnsi="Arial" w:cs="Arial"/>
          <w:color w:val="212121"/>
          <w:sz w:val="22"/>
          <w:szCs w:val="22"/>
        </w:rPr>
        <w:t xml:space="preserve"> </w:t>
      </w:r>
      <w:r w:rsidRPr="00244B7D">
        <w:rPr>
          <w:rFonts w:ascii="Arial" w:hAnsi="Arial" w:cs="Arial"/>
          <w:sz w:val="22"/>
          <w:szCs w:val="22"/>
        </w:rPr>
        <w:t>Совместные усилия Глобальной системы наблюдений за океаном (ГСНО) и Системы информации о морском биологическом разнообразии (ОБИС), функционирующей в рамках МООД, позволили получить информацию, собранную в рамках 638 многолетних программ мониторинга биоразнообразия, которая затем была интегрирована в онлайновую платформу метаданных (портал «</w:t>
      </w:r>
      <w:proofErr w:type="spellStart"/>
      <w:r w:rsidRPr="00244B7D">
        <w:rPr>
          <w:rFonts w:ascii="Arial" w:hAnsi="Arial" w:cs="Arial"/>
          <w:sz w:val="22"/>
          <w:szCs w:val="22"/>
        </w:rPr>
        <w:t>БиоЭко</w:t>
      </w:r>
      <w:proofErr w:type="spellEnd"/>
      <w:r w:rsidRPr="00244B7D">
        <w:rPr>
          <w:rFonts w:ascii="Arial" w:hAnsi="Arial" w:cs="Arial"/>
          <w:sz w:val="22"/>
          <w:szCs w:val="22"/>
        </w:rPr>
        <w:t>»). Указанный портал будет, в свою очередь, подключен к ОДИС и, таким образом, сможет использоваться в качестве инфраструктуры мониторинга состояния компонента ГСНО, касающегося морского биологического разнообразия. На сегодняшний день база данных ОБИС содержит 136 миллионов записей о биологических видах и продолжает ежемесячно увеличиваться более чем на один миллион записей, поступающих более чем от 1000 учреждений 99 стран.</w:t>
      </w:r>
    </w:p>
    <w:p w14:paraId="187CA527" w14:textId="77777777" w:rsidR="008205F0" w:rsidRPr="00244B7D" w:rsidRDefault="003E0E67" w:rsidP="00454BFB">
      <w:pPr>
        <w:pStyle w:val="ListParagraph"/>
        <w:numPr>
          <w:ilvl w:val="0"/>
          <w:numId w:val="42"/>
        </w:numPr>
        <w:tabs>
          <w:tab w:val="left" w:pos="0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 w:cs="Arial"/>
          <w:sz w:val="22"/>
          <w:szCs w:val="22"/>
        </w:rPr>
      </w:pPr>
      <w:r w:rsidRPr="00244B7D">
        <w:rPr>
          <w:rFonts w:ascii="Arial" w:hAnsi="Arial" w:cs="Arial"/>
          <w:sz w:val="22"/>
          <w:szCs w:val="22"/>
        </w:rPr>
        <w:t>В декабре 2024 г. завершилась реализация проекта «Экспедиции по сбору образцов экологической ДНК на морских объектах всемирного наследия», финансировавшегося правительством Фландрии (Королевство Бельгия) и осуществлявшегося совместно с Центром всемирного наследия. Указанный проект продемонстрировал перспективность работы с экологической ДНК (</w:t>
      </w:r>
      <w:proofErr w:type="spellStart"/>
      <w:r w:rsidRPr="00244B7D">
        <w:rPr>
          <w:rFonts w:ascii="Arial" w:hAnsi="Arial" w:cs="Arial"/>
          <w:sz w:val="22"/>
          <w:szCs w:val="22"/>
        </w:rPr>
        <w:t>эДНК</w:t>
      </w:r>
      <w:proofErr w:type="spellEnd"/>
      <w:r w:rsidRPr="00244B7D">
        <w:rPr>
          <w:rFonts w:ascii="Arial" w:hAnsi="Arial" w:cs="Arial"/>
          <w:sz w:val="22"/>
          <w:szCs w:val="22"/>
        </w:rPr>
        <w:t xml:space="preserve">) в качестве эффективного с точки зрения затрат и доступного метода мониторинга состояния и сохранения морского биологического разнообразия. За последние три года кампании по сбору образцов </w:t>
      </w:r>
      <w:proofErr w:type="spellStart"/>
      <w:r w:rsidRPr="00244B7D">
        <w:rPr>
          <w:rFonts w:ascii="Arial" w:hAnsi="Arial" w:cs="Arial"/>
          <w:sz w:val="22"/>
          <w:szCs w:val="22"/>
        </w:rPr>
        <w:t>эДНК</w:t>
      </w:r>
      <w:proofErr w:type="spellEnd"/>
      <w:r w:rsidRPr="00244B7D">
        <w:rPr>
          <w:rFonts w:ascii="Arial" w:hAnsi="Arial" w:cs="Arial"/>
          <w:sz w:val="22"/>
          <w:szCs w:val="22"/>
        </w:rPr>
        <w:t xml:space="preserve"> были проведены на территории 21 морского объекта всемирного наследия ЮНЕСКО в 19 странах. В рамках финансировавшегося Фландрией (Королевство Бельгия) проекта «Создание сети оповещения о морских </w:t>
      </w:r>
      <w:proofErr w:type="spellStart"/>
      <w:r w:rsidRPr="00244B7D">
        <w:rPr>
          <w:rFonts w:ascii="Arial" w:hAnsi="Arial" w:cs="Arial"/>
          <w:sz w:val="22"/>
          <w:szCs w:val="22"/>
        </w:rPr>
        <w:t>биоинвазиях</w:t>
      </w:r>
      <w:proofErr w:type="spellEnd"/>
      <w:r w:rsidRPr="00244B7D">
        <w:rPr>
          <w:rFonts w:ascii="Arial" w:hAnsi="Arial" w:cs="Arial"/>
          <w:sz w:val="22"/>
          <w:szCs w:val="22"/>
        </w:rPr>
        <w:t xml:space="preserve"> на территории биосферных заповедников островных государств Тихого океана» (2020-2024 гг.) была создана комплексная система мониторинга, сбора образцов и исследования морских инвазивных видов с использованием молекулярных технологий. В рамках пилотного проекта на Фиджи было выявлено присутствие двух видов, которых ранее не наблюдались в этом районе.</w:t>
      </w:r>
    </w:p>
    <w:p w14:paraId="10EA7B9E" w14:textId="7DA75BE0" w:rsidR="003E0E67" w:rsidRPr="00244B7D" w:rsidRDefault="003E0E67" w:rsidP="00454BFB">
      <w:pPr>
        <w:pStyle w:val="ListParagraph"/>
        <w:numPr>
          <w:ilvl w:val="0"/>
          <w:numId w:val="42"/>
        </w:numPr>
        <w:tabs>
          <w:tab w:val="left" w:pos="0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 w:cs="Arial"/>
          <w:sz w:val="22"/>
          <w:szCs w:val="22"/>
        </w:rPr>
      </w:pPr>
      <w:r w:rsidRPr="00244B7D">
        <w:rPr>
          <w:rFonts w:ascii="Arial" w:hAnsi="Arial" w:cs="Arial"/>
          <w:sz w:val="22"/>
          <w:szCs w:val="22"/>
        </w:rPr>
        <w:t xml:space="preserve">В рамках Программы по цунами особое </w:t>
      </w:r>
      <w:proofErr w:type="gramStart"/>
      <w:r w:rsidRPr="00244B7D">
        <w:rPr>
          <w:rFonts w:ascii="Arial" w:hAnsi="Arial" w:cs="Arial"/>
          <w:sz w:val="22"/>
          <w:szCs w:val="22"/>
        </w:rPr>
        <w:t>внимание</w:t>
      </w:r>
      <w:proofErr w:type="gramEnd"/>
      <w:r w:rsidRPr="00244B7D">
        <w:rPr>
          <w:rFonts w:ascii="Arial" w:hAnsi="Arial" w:cs="Arial"/>
          <w:sz w:val="22"/>
          <w:szCs w:val="22"/>
        </w:rPr>
        <w:t xml:space="preserve"> как и прежде было уделено укреплению потенциала в ряде государств, расположенных во всех бассейнах Мирового океана. В связи с этим были возобновлены соглашения о сотрудничестве со следующими структурами:</w:t>
      </w:r>
    </w:p>
    <w:p w14:paraId="0B6F2069" w14:textId="77777777" w:rsidR="008205F0" w:rsidRPr="00244B7D" w:rsidRDefault="003E0E67" w:rsidP="00454BFB">
      <w:pPr>
        <w:pStyle w:val="ListParagraph"/>
        <w:tabs>
          <w:tab w:val="clear" w:pos="709"/>
        </w:tabs>
        <w:spacing w:after="240"/>
        <w:ind w:left="1134" w:hanging="567"/>
        <w:contextualSpacing w:val="0"/>
        <w:rPr>
          <w:rFonts w:ascii="Arial" w:hAnsi="Arial" w:cs="Arial"/>
          <w:sz w:val="22"/>
          <w:szCs w:val="22"/>
        </w:rPr>
      </w:pPr>
      <w:r w:rsidRPr="00244B7D">
        <w:rPr>
          <w:rFonts w:ascii="Arial" w:hAnsi="Arial" w:cs="Arial"/>
          <w:sz w:val="22"/>
          <w:szCs w:val="22"/>
        </w:rPr>
        <w:t>-</w:t>
      </w:r>
      <w:r w:rsidRPr="00244B7D">
        <w:rPr>
          <w:rFonts w:ascii="Arial" w:hAnsi="Arial" w:cs="Arial"/>
          <w:sz w:val="22"/>
          <w:szCs w:val="22"/>
        </w:rPr>
        <w:tab/>
        <w:t>Агентство по метеорологии, климатологии и геофизике Республики Индонезия, в котором размещен Центр информации о цунами в Индийском океане (ЦИЦИО); соглашение заключено на период 2023-2027 гг.;</w:t>
      </w:r>
    </w:p>
    <w:p w14:paraId="1382508A" w14:textId="6FD3A93F" w:rsidR="008205F0" w:rsidRPr="00244B7D" w:rsidRDefault="003E0E67" w:rsidP="00454BFB">
      <w:pPr>
        <w:pStyle w:val="ListParagraph"/>
        <w:tabs>
          <w:tab w:val="clear" w:pos="709"/>
        </w:tabs>
        <w:spacing w:after="240"/>
        <w:ind w:left="1134" w:hanging="567"/>
        <w:contextualSpacing w:val="0"/>
        <w:rPr>
          <w:rFonts w:ascii="Arial" w:hAnsi="Arial" w:cs="Arial"/>
          <w:sz w:val="22"/>
          <w:szCs w:val="22"/>
        </w:rPr>
      </w:pPr>
      <w:r w:rsidRPr="00244B7D">
        <w:rPr>
          <w:rFonts w:ascii="Arial" w:hAnsi="Arial" w:cs="Arial"/>
          <w:sz w:val="22"/>
          <w:szCs w:val="22"/>
        </w:rPr>
        <w:t>-</w:t>
      </w:r>
      <w:r w:rsidRPr="00244B7D">
        <w:rPr>
          <w:rFonts w:ascii="Arial" w:hAnsi="Arial" w:cs="Arial"/>
          <w:sz w:val="22"/>
          <w:szCs w:val="22"/>
        </w:rPr>
        <w:tab/>
        <w:t>Отдел управления прибрежной зоной Барбадоса, на базе которой был создан Карибский центр информации о цунами (КЦИЦ); соглашение заключено на период 2024-2029 гг.;</w:t>
      </w:r>
    </w:p>
    <w:p w14:paraId="2283CE67" w14:textId="6FCF5811" w:rsidR="008205F0" w:rsidRPr="00244B7D" w:rsidRDefault="003E0E67" w:rsidP="00454BFB">
      <w:pPr>
        <w:pStyle w:val="ListParagraph"/>
        <w:tabs>
          <w:tab w:val="clear" w:pos="709"/>
        </w:tabs>
        <w:spacing w:after="240"/>
        <w:ind w:left="1134" w:hanging="567"/>
        <w:contextualSpacing w:val="0"/>
        <w:rPr>
          <w:rFonts w:ascii="Arial" w:hAnsi="Arial" w:cs="Arial"/>
          <w:sz w:val="22"/>
          <w:szCs w:val="22"/>
        </w:rPr>
      </w:pPr>
      <w:r w:rsidRPr="00244B7D">
        <w:rPr>
          <w:rFonts w:ascii="Arial" w:hAnsi="Arial" w:cs="Arial"/>
          <w:sz w:val="22"/>
          <w:szCs w:val="22"/>
        </w:rPr>
        <w:t>-</w:t>
      </w:r>
      <w:r w:rsidRPr="00244B7D">
        <w:rPr>
          <w:rFonts w:ascii="Arial" w:hAnsi="Arial" w:cs="Arial"/>
          <w:sz w:val="22"/>
          <w:szCs w:val="22"/>
        </w:rPr>
        <w:tab/>
        <w:t>Метеорологическая служба Австралии, на базе которой функционирует система предупреждения о цунами и смягчения их последствий в Индийском океане</w:t>
      </w:r>
      <w:r w:rsidR="00FF5832">
        <w:rPr>
          <w:rFonts w:ascii="Arial" w:hAnsi="Arial" w:cs="Arial"/>
          <w:sz w:val="22"/>
          <w:szCs w:val="22"/>
          <w:lang w:val="en-US"/>
        </w:rPr>
        <w:t> </w:t>
      </w:r>
      <w:r w:rsidRPr="00244B7D">
        <w:rPr>
          <w:rFonts w:ascii="Arial" w:hAnsi="Arial" w:cs="Arial"/>
          <w:sz w:val="22"/>
          <w:szCs w:val="22"/>
        </w:rPr>
        <w:t>(СПЦСПИО), Бюро по проектам в Перте, Австралия; соглашение возобновлено на период 2023-2027 гг.</w:t>
      </w:r>
    </w:p>
    <w:p w14:paraId="414A5E36" w14:textId="77777777" w:rsidR="008205F0" w:rsidRPr="00244B7D" w:rsidRDefault="003E0E67" w:rsidP="00454BFB">
      <w:pPr>
        <w:pStyle w:val="ListParagraph"/>
        <w:numPr>
          <w:ilvl w:val="0"/>
          <w:numId w:val="42"/>
        </w:numPr>
        <w:tabs>
          <w:tab w:val="left" w:pos="0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 w:cs="Arial"/>
          <w:sz w:val="22"/>
          <w:szCs w:val="22"/>
        </w:rPr>
      </w:pPr>
      <w:r w:rsidRPr="00244B7D">
        <w:rPr>
          <w:rFonts w:ascii="Arial" w:hAnsi="Arial" w:cs="Arial"/>
          <w:sz w:val="22"/>
          <w:szCs w:val="22"/>
        </w:rPr>
        <w:t>В ходе второго Международного симпозиума по проблематике цунами (Банда-Ачех, Индонезия), организованного в память о жертвах цунами 2004 г. в Индийском океане, были подведены итоги проделанной работы (100 прибрежных населенных пунктов в 31 государстве-</w:t>
      </w:r>
      <w:r w:rsidRPr="00244B7D">
        <w:rPr>
          <w:rFonts w:ascii="Arial" w:hAnsi="Arial" w:cs="Arial"/>
          <w:sz w:val="22"/>
          <w:szCs w:val="22"/>
        </w:rPr>
        <w:lastRenderedPageBreak/>
        <w:t>члене, включая 15 МОСРГ, прошли сертификацию по Программе готовности к цунами). Участники мероприятия обратились с призывом оказать содействие, с тем чтобы к 2030 г. такую сертификацию прошли 100% прибрежных населенных пунктов, подверженных потенциальной опасности цунами.</w:t>
      </w:r>
    </w:p>
    <w:p w14:paraId="7DA00444" w14:textId="1FBEFB28" w:rsidR="003E0E67" w:rsidRPr="00244B7D" w:rsidRDefault="003E0E67" w:rsidP="00454BFB">
      <w:pPr>
        <w:pStyle w:val="ListParagraph"/>
        <w:numPr>
          <w:ilvl w:val="0"/>
          <w:numId w:val="42"/>
        </w:numPr>
        <w:tabs>
          <w:tab w:val="left" w:pos="0"/>
          <w:tab w:val="left" w:pos="567"/>
        </w:tabs>
        <w:snapToGrid w:val="0"/>
        <w:spacing w:after="240"/>
        <w:ind w:left="0" w:firstLine="0"/>
        <w:contextualSpacing w:val="0"/>
        <w:rPr>
          <w:rFonts w:ascii="Arial" w:eastAsia="Arial" w:hAnsi="Arial" w:cs="Arial"/>
          <w:sz w:val="22"/>
          <w:szCs w:val="22"/>
        </w:rPr>
      </w:pPr>
      <w:r w:rsidRPr="00244B7D">
        <w:rPr>
          <w:rFonts w:ascii="Arial" w:hAnsi="Arial" w:cs="Arial"/>
          <w:sz w:val="22"/>
          <w:szCs w:val="22"/>
        </w:rPr>
        <w:t>В рамках совместной научной программы МОК-СКОР «</w:t>
      </w:r>
      <w:proofErr w:type="spellStart"/>
      <w:r w:rsidRPr="00244B7D">
        <w:rPr>
          <w:rFonts w:ascii="Arial" w:hAnsi="Arial" w:cs="Arial"/>
          <w:sz w:val="22"/>
          <w:szCs w:val="22"/>
        </w:rPr>
        <w:t>ГлобалВЦВ</w:t>
      </w:r>
      <w:proofErr w:type="spellEnd"/>
      <w:r w:rsidRPr="00244B7D">
        <w:rPr>
          <w:rFonts w:ascii="Arial" w:hAnsi="Arial" w:cs="Arial"/>
          <w:sz w:val="22"/>
          <w:szCs w:val="22"/>
        </w:rPr>
        <w:t>» был разработан новый десятилетний план работы для Международной программы МОК по вредоносному цветению водорослей. Новая программа партнерства МОК с Фондом «Ниппон» и ЮНЕП была сосредоточена на разработке десятилетнего плана реализации проекта «Избавление Мирового океана к 2050 году от вредного воздействия загрязнения». Концепция реализации указанного плана была представлена в марте 2025 г.</w:t>
      </w:r>
      <w:r w:rsidR="00244B7D" w:rsidRPr="00244B7D">
        <w:rPr>
          <w:rFonts w:ascii="Arial" w:hAnsi="Arial" w:cs="Arial"/>
          <w:sz w:val="22"/>
          <w:szCs w:val="22"/>
        </w:rPr>
        <w:t xml:space="preserve"> </w:t>
      </w:r>
      <w:r w:rsidRPr="00244B7D">
        <w:rPr>
          <w:rFonts w:ascii="Arial" w:hAnsi="Arial" w:cs="Arial"/>
          <w:sz w:val="22"/>
          <w:szCs w:val="22"/>
        </w:rPr>
        <w:t>в Токио на Всемирном саммите по океану.</w:t>
      </w:r>
    </w:p>
    <w:p w14:paraId="5807EF2B" w14:textId="00727985" w:rsidR="008205F0" w:rsidRPr="00244B7D" w:rsidRDefault="003E0E67" w:rsidP="00454BFB">
      <w:pPr>
        <w:pStyle w:val="ListParagraph"/>
        <w:numPr>
          <w:ilvl w:val="0"/>
          <w:numId w:val="42"/>
        </w:numPr>
        <w:tabs>
          <w:tab w:val="left" w:pos="0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 w:cs="Arial"/>
          <w:sz w:val="22"/>
          <w:szCs w:val="22"/>
        </w:rPr>
      </w:pPr>
      <w:r w:rsidRPr="00244B7D">
        <w:rPr>
          <w:rFonts w:ascii="Arial" w:hAnsi="Arial" w:cs="Arial"/>
          <w:sz w:val="22"/>
          <w:szCs w:val="22"/>
        </w:rPr>
        <w:t>МОК активизировала усилия в области морского пространственного планирования</w:t>
      </w:r>
      <w:r w:rsidR="00454BFB">
        <w:rPr>
          <w:rFonts w:ascii="Arial" w:hAnsi="Arial" w:cs="Arial"/>
          <w:sz w:val="22"/>
          <w:szCs w:val="22"/>
          <w:lang w:val="en-US"/>
        </w:rPr>
        <w:t> </w:t>
      </w:r>
      <w:r w:rsidRPr="00244B7D">
        <w:rPr>
          <w:rFonts w:ascii="Arial" w:hAnsi="Arial" w:cs="Arial"/>
          <w:sz w:val="22"/>
          <w:szCs w:val="22"/>
        </w:rPr>
        <w:t>(МПП) посредством организации серии учебных мероприятий в рамка проекта «Океан-инструктор». Кроме того, было подготовлено два материала о взаимодействии с коренными народами и местными общинами в рамках проектов по МПП (2024 г.), а также четыре комплекта методических руководств по тематике биоразнообразия, климата, геопространственным данным и использованию ветровой энергии в прибрежных водах (2025 г.). В семи странах Африки, западной части Тихого океана, Латинской Америки и Карибского бассейна в экспериментальном порядке была опробована новая методология ускоренной оценки, призванная помочь государствам-членам в осуществлении мероприятий в области МПП. Принятое правительством Швеции и Генеральным директоратом Европейской комиссии по морским делам и рыболовству решение о возобновлении финансовой помощи позволит продолжить эту работу. Усилия МОК в области МПП заложили прочную основу для разработки общесистемной стратегии МОК по рациональному планированию морской деятельности и управлению ресурсами океана (СОПМ) и реализации новой Программы Десятилетия по рациональному планированию морской деятельности, которая была представлена в ходе Международной конференции, посвященной Десятилетию науки об океане (2024 г., Барселона).</w:t>
      </w:r>
    </w:p>
    <w:p w14:paraId="24B7F103" w14:textId="5D0D0865" w:rsidR="003E0E67" w:rsidRPr="00244B7D" w:rsidRDefault="003E0E67" w:rsidP="00454BFB">
      <w:pPr>
        <w:pStyle w:val="ListParagraph"/>
        <w:numPr>
          <w:ilvl w:val="0"/>
          <w:numId w:val="42"/>
        </w:numPr>
        <w:tabs>
          <w:tab w:val="left" w:pos="0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244B7D">
        <w:rPr>
          <w:rFonts w:ascii="Arial" w:hAnsi="Arial" w:cs="Arial"/>
          <w:color w:val="212121"/>
          <w:sz w:val="22"/>
          <w:szCs w:val="22"/>
        </w:rPr>
        <w:t xml:space="preserve">Созданная решением Ассамблеи МОК группа экспертов занималась разработкой плана реализации </w:t>
      </w:r>
      <w:hyperlink r:id="rId17" w:history="1">
        <w:r w:rsidRPr="00244B7D">
          <w:rPr>
            <w:rStyle w:val="Hyperlink"/>
            <w:rFonts w:ascii="Arial" w:hAnsi="Arial" w:cs="Arial"/>
            <w:sz w:val="22"/>
            <w:szCs w:val="22"/>
          </w:rPr>
          <w:t>Стратегии МОК в области развития потенциала (2023-2030 гг.)</w:t>
        </w:r>
      </w:hyperlink>
      <w:r w:rsidRPr="00244B7D">
        <w:rPr>
          <w:rFonts w:ascii="Arial" w:hAnsi="Arial" w:cs="Arial"/>
          <w:color w:val="212121"/>
          <w:sz w:val="22"/>
          <w:szCs w:val="22"/>
        </w:rPr>
        <w:t>. Глобальная академия «Океан-инструктор» (ГАОИ) продолжила наращивать масштабы своей работы и увеличила количество проводимых учебных мероприятий (более 50 учебных курсов в год), которыми было охвачено около 14 000 специалистов по всему миру. Сеть ГАОИ, в которую входят 17 региональных и специализированных учебных центров, продолжает активную деятельность. В последние два года к учебным мероприятиям присоединились десятки новых партнеров. Благодаря имеющейся аккредитации в качестве провайдера образовательных услуг (ISO 29993) ГАОИ ежегодно выдает сертификаты о прохождении обучения сотням участников различных тренингов, обеспечивая при этом высокое качество организации учебного процесса.</w:t>
      </w:r>
      <w:r w:rsidRPr="00244B7D">
        <w:rPr>
          <w:rStyle w:val="apple-converted-space"/>
          <w:rFonts w:ascii="Arial" w:hAnsi="Arial" w:cs="Arial"/>
          <w:color w:val="212121"/>
          <w:sz w:val="22"/>
          <w:szCs w:val="22"/>
        </w:rPr>
        <w:t xml:space="preserve"> </w:t>
      </w:r>
      <w:r w:rsidRPr="00244B7D">
        <w:rPr>
          <w:rFonts w:ascii="Arial" w:hAnsi="Arial" w:cs="Arial"/>
          <w:color w:val="212121"/>
          <w:sz w:val="22"/>
          <w:szCs w:val="22"/>
        </w:rPr>
        <w:t>В 2024 г. при финансовой поддержке Норвежского агентства по сотрудничеству в области развития (НОРАД) МОК начала осуществление пяти проектов в области развития потенциала, разработанных совместно с региональными и техническими вспомогательными органами: (i) создание в регионе Африки систем раннего предупреждения о вредоносном цветении водорослей; (</w:t>
      </w:r>
      <w:proofErr w:type="spellStart"/>
      <w:r w:rsidRPr="00244B7D">
        <w:rPr>
          <w:rFonts w:ascii="Arial" w:hAnsi="Arial" w:cs="Arial"/>
          <w:color w:val="212121"/>
          <w:sz w:val="22"/>
          <w:szCs w:val="22"/>
        </w:rPr>
        <w:t>ii</w:t>
      </w:r>
      <w:proofErr w:type="spellEnd"/>
      <w:r w:rsidRPr="00244B7D">
        <w:rPr>
          <w:rFonts w:ascii="Arial" w:hAnsi="Arial" w:cs="Arial"/>
          <w:color w:val="212121"/>
          <w:sz w:val="22"/>
          <w:szCs w:val="22"/>
        </w:rPr>
        <w:t>) осуществление первого этапа проекта «ГЛОСС- Африка» (в странах Северной Африки); (</w:t>
      </w:r>
      <w:proofErr w:type="spellStart"/>
      <w:r w:rsidRPr="00244B7D">
        <w:rPr>
          <w:rFonts w:ascii="Arial" w:hAnsi="Arial" w:cs="Arial"/>
          <w:color w:val="212121"/>
          <w:sz w:val="22"/>
          <w:szCs w:val="22"/>
        </w:rPr>
        <w:t>iii</w:t>
      </w:r>
      <w:proofErr w:type="spellEnd"/>
      <w:r w:rsidRPr="00244B7D">
        <w:rPr>
          <w:rFonts w:ascii="Arial" w:hAnsi="Arial" w:cs="Arial"/>
          <w:color w:val="212121"/>
          <w:sz w:val="22"/>
          <w:szCs w:val="22"/>
        </w:rPr>
        <w:t>) оказание содействия в разработке стратегии и укреплении потенциала в области океанографических наблюдений за океаном под эгидой ГСНО-Африка; (</w:t>
      </w:r>
      <w:proofErr w:type="spellStart"/>
      <w:r w:rsidRPr="00244B7D">
        <w:rPr>
          <w:rFonts w:ascii="Arial" w:hAnsi="Arial" w:cs="Arial"/>
          <w:color w:val="212121"/>
          <w:sz w:val="22"/>
          <w:szCs w:val="22"/>
        </w:rPr>
        <w:t>iv</w:t>
      </w:r>
      <w:proofErr w:type="spellEnd"/>
      <w:r w:rsidRPr="00244B7D">
        <w:rPr>
          <w:rFonts w:ascii="Arial" w:hAnsi="Arial" w:cs="Arial"/>
          <w:color w:val="212121"/>
          <w:sz w:val="22"/>
          <w:szCs w:val="22"/>
        </w:rPr>
        <w:t xml:space="preserve">) создание центра сбора и обработки данных по биоразнообразию для районов открытого моря; (v) организация стажировок в целях общего укрепления кадрового потенциала в охватываемых мандатом МОК областях. </w:t>
      </w:r>
      <w:r w:rsidRPr="00244B7D">
        <w:rPr>
          <w:rFonts w:ascii="Arial" w:hAnsi="Arial" w:cs="Arial"/>
          <w:color w:val="000000" w:themeColor="text1"/>
          <w:sz w:val="22"/>
          <w:szCs w:val="22"/>
        </w:rPr>
        <w:t>Дополнительные финансовые средства, полученные в декабре 2024 г., были направлены на укрепление систем раннего предупреждения о вредоносном цветении водорослей в регионе Африки, в том числе на модернизацию ИТ-инфраструктуры управления данными и совершенствование таких систем, что позволит отслеживать взаимосвязь между ВЦВ и процессами деоксигенации, а также использовать данные наблюдений этих новых систем в рамках ГСНО.</w:t>
      </w:r>
    </w:p>
    <w:p w14:paraId="3FA5D8E1" w14:textId="77777777" w:rsidR="003E0E67" w:rsidRPr="00244B7D" w:rsidRDefault="003E0E67" w:rsidP="00454BFB">
      <w:pPr>
        <w:pStyle w:val="ListParagraph"/>
        <w:numPr>
          <w:ilvl w:val="0"/>
          <w:numId w:val="42"/>
        </w:numPr>
        <w:tabs>
          <w:tab w:val="left" w:pos="0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 w:cs="Arial"/>
          <w:sz w:val="22"/>
          <w:szCs w:val="22"/>
        </w:rPr>
      </w:pPr>
      <w:r w:rsidRPr="00244B7D">
        <w:rPr>
          <w:rFonts w:ascii="Arial" w:hAnsi="Arial" w:cs="Arial"/>
          <w:sz w:val="22"/>
          <w:szCs w:val="22"/>
        </w:rPr>
        <w:lastRenderedPageBreak/>
        <w:t xml:space="preserve">ГАОИ продолжила проведение многоязычных тренингов по повышению уровня грамотности в связанных с океаном вопросах, а также разработку тематических курсов для дистанционного обучения. </w:t>
      </w:r>
      <w:r w:rsidRPr="00244B7D">
        <w:rPr>
          <w:rFonts w:ascii="Arial" w:hAnsi="Arial" w:cs="Arial"/>
          <w:color w:val="000000"/>
          <w:sz w:val="22"/>
          <w:szCs w:val="22"/>
        </w:rPr>
        <w:t xml:space="preserve">Более двух миллионов носителей языка суахили, проживающих в регионе Восточной Африки, в том числе в ДРК, на Коморских островах, в Кении, Танзании и Сомали, смогут теперь использовать </w:t>
      </w:r>
      <w:hyperlink r:id="rId18" w:history="1">
        <w:r w:rsidRPr="00244B7D">
          <w:rPr>
            <w:rStyle w:val="Hyperlink"/>
            <w:rFonts w:ascii="Arial" w:hAnsi="Arial" w:cs="Arial"/>
            <w:i/>
            <w:iCs/>
            <w:sz w:val="22"/>
            <w:szCs w:val="22"/>
          </w:rPr>
          <w:t>пакет прикладных программ, подготовленных в рамках инициативы «Знания об океане – право каждого»</w:t>
        </w:r>
      </w:hyperlink>
      <w:r w:rsidRPr="00244B7D">
        <w:rPr>
          <w:rFonts w:ascii="Arial" w:hAnsi="Arial" w:cs="Arial"/>
          <w:color w:val="000000"/>
          <w:sz w:val="22"/>
          <w:szCs w:val="22"/>
        </w:rPr>
        <w:t>.</w:t>
      </w:r>
    </w:p>
    <w:p w14:paraId="587E12F1" w14:textId="3F99031D" w:rsidR="003E0E67" w:rsidRPr="00244B7D" w:rsidRDefault="003E0E67" w:rsidP="00454BFB">
      <w:pPr>
        <w:pStyle w:val="ListParagraph"/>
        <w:numPr>
          <w:ilvl w:val="0"/>
          <w:numId w:val="42"/>
        </w:numPr>
        <w:tabs>
          <w:tab w:val="left" w:pos="0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244B7D">
        <w:rPr>
          <w:rFonts w:ascii="Arial" w:hAnsi="Arial" w:cs="Arial"/>
          <w:sz w:val="22"/>
          <w:szCs w:val="22"/>
        </w:rPr>
        <w:t>Первостепенное значение для успешной деятельности в рамках глобального приоритета «Африка» имеет обеспечение согласованности наших усилий с меняющимися национальными и региональными приоритетами и стратегиями.</w:t>
      </w:r>
      <w:r w:rsidRPr="00244B7D">
        <w:rPr>
          <w:rFonts w:ascii="Arial" w:hAnsi="Arial" w:cs="Arial"/>
          <w:color w:val="000000"/>
          <w:sz w:val="22"/>
          <w:szCs w:val="22"/>
        </w:rPr>
        <w:t xml:space="preserve"> Целевая группа Десятилетия науки об океане для стран Африки содействовала реализации </w:t>
      </w:r>
      <w:hyperlink r:id="rId19" w:history="1">
        <w:r w:rsidRPr="00244B7D">
          <w:rPr>
            <w:rStyle w:val="Hyperlink"/>
            <w:rFonts w:ascii="Arial" w:hAnsi="Arial" w:cs="Arial"/>
            <w:i/>
            <w:iCs/>
            <w:sz w:val="22"/>
            <w:szCs w:val="22"/>
          </w:rPr>
          <w:t>Дорожной карты по проведению Десятилетия науки об океане в странах Африки</w:t>
        </w:r>
      </w:hyperlink>
      <w:r w:rsidRPr="00244B7D">
        <w:rPr>
          <w:rFonts w:ascii="Arial" w:hAnsi="Arial" w:cs="Arial"/>
          <w:color w:val="000000"/>
          <w:sz w:val="22"/>
          <w:szCs w:val="22"/>
        </w:rPr>
        <w:t xml:space="preserve">, включая разработку и начало осуществления в рамках Десятилетия новой программы по поощрению рационального </w:t>
      </w:r>
      <w:proofErr w:type="spellStart"/>
      <w:r w:rsidRPr="00244B7D">
        <w:rPr>
          <w:rFonts w:ascii="Arial" w:hAnsi="Arial" w:cs="Arial"/>
          <w:color w:val="000000"/>
          <w:sz w:val="22"/>
          <w:szCs w:val="22"/>
        </w:rPr>
        <w:t>морепользования</w:t>
      </w:r>
      <w:proofErr w:type="spellEnd"/>
      <w:r w:rsidRPr="00244B7D">
        <w:rPr>
          <w:rFonts w:ascii="Arial" w:hAnsi="Arial" w:cs="Arial"/>
          <w:color w:val="000000"/>
          <w:sz w:val="22"/>
          <w:szCs w:val="22"/>
        </w:rPr>
        <w:t xml:space="preserve"> в странах Африки. Аналогичным образом Целевая группа для региона тропических стран Северной и Южной Америки и Карибского бассейна руководила осуществлением соответствующей дорожной карты, разработанной для данного региона. </w:t>
      </w:r>
      <w:r w:rsidRPr="00244B7D">
        <w:rPr>
          <w:rFonts w:ascii="Arial" w:hAnsi="Arial" w:cs="Arial"/>
          <w:sz w:val="22"/>
          <w:szCs w:val="22"/>
        </w:rPr>
        <w:t>В регионе ВЕСТПАК были предприняты серьезные усилия по увязке морских научно-исследовательских программ с потребностями проживающего здесь населения, в том числе с помощью подписания соответствующих соглашений и принятия рамочных стратегий на национальном и международном уровнях.</w:t>
      </w:r>
      <w:r w:rsidRPr="00244B7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44B7D">
        <w:rPr>
          <w:rFonts w:ascii="Arial" w:hAnsi="Arial" w:cs="Arial"/>
          <w:sz w:val="22"/>
          <w:szCs w:val="22"/>
        </w:rPr>
        <w:t>Важной вехой стало проведение второй региональной конференции, посвященной Десятилетию науки об океане и 11-й Международной конференции ВЕСТПАК по морским наукам (22-25 апреля 2024 г., Таиланд), в которых приняли участие представители более 1200 заинтересованных сторон из 40 стран региона и других стран.</w:t>
      </w:r>
      <w:r w:rsidRPr="00244B7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244B7D">
        <w:rPr>
          <w:rFonts w:ascii="Arial" w:hAnsi="Arial" w:cs="Arial"/>
          <w:color w:val="000000" w:themeColor="text1"/>
          <w:sz w:val="22"/>
          <w:szCs w:val="22"/>
        </w:rPr>
        <w:t xml:space="preserve">В целях содействия реализации глобального проекта </w:t>
      </w:r>
      <w:hyperlink r:id="rId20" w:history="1">
        <w:r w:rsidRPr="00244B7D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«Морское пространственное планирование 2.0»</w:t>
        </w:r>
      </w:hyperlink>
      <w:r w:rsidRPr="00244B7D">
        <w:rPr>
          <w:rFonts w:ascii="Arial" w:hAnsi="Arial" w:cs="Arial"/>
          <w:color w:val="000000" w:themeColor="text1"/>
          <w:sz w:val="22"/>
          <w:szCs w:val="22"/>
        </w:rPr>
        <w:t xml:space="preserve"> была принята региональная рамочная программа действий, призванная ускорить процессы, связанные </w:t>
      </w:r>
      <w:r w:rsidR="00B3287E">
        <w:rPr>
          <w:rFonts w:ascii="Arial" w:hAnsi="Arial" w:cs="Arial"/>
          <w:color w:val="000000" w:themeColor="text1"/>
          <w:sz w:val="22"/>
          <w:szCs w:val="22"/>
          <w:lang w:val="en-US"/>
        </w:rPr>
        <w:t>c</w:t>
      </w:r>
      <w:r w:rsidR="00B3287E" w:rsidRPr="00B328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44B7D">
        <w:rPr>
          <w:rFonts w:ascii="Arial" w:hAnsi="Arial" w:cs="Arial"/>
          <w:color w:val="000000" w:themeColor="text1"/>
          <w:sz w:val="22"/>
          <w:szCs w:val="22"/>
        </w:rPr>
        <w:t>планированием морских пространств.</w:t>
      </w:r>
    </w:p>
    <w:p w14:paraId="1C462022" w14:textId="77777777" w:rsidR="008205F0" w:rsidRPr="00244B7D" w:rsidRDefault="003E0E67" w:rsidP="00454BFB">
      <w:pPr>
        <w:pStyle w:val="ListParagraph"/>
        <w:numPr>
          <w:ilvl w:val="0"/>
          <w:numId w:val="42"/>
        </w:numPr>
        <w:tabs>
          <w:tab w:val="left" w:pos="0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244B7D">
        <w:rPr>
          <w:rFonts w:ascii="Arial" w:hAnsi="Arial" w:cs="Arial"/>
          <w:sz w:val="22"/>
          <w:szCs w:val="22"/>
        </w:rPr>
        <w:t>В рамках реализации стратегии деятельности ЮНЕСКО в интересах малых островных развивающихся государств МОК поощряла участие МОСРГ в проведении Десятилетия, посвященного науке об океане, в том числе с помощью создания на базе Тихоокеанского сообщества децентрализованного координационного центра для островных государств региона Тихого океана. Руководство осуществлением мероприятий в этом регионе обеспечивает Целевая группа для региона тропических стран Северной и Южной Америки и Карибского бассейна.</w:t>
      </w:r>
    </w:p>
    <w:p w14:paraId="589320D1" w14:textId="436F34B7" w:rsidR="008D1EEC" w:rsidRPr="00244B7D" w:rsidRDefault="008D1EEC" w:rsidP="00454BFB">
      <w:pPr>
        <w:tabs>
          <w:tab w:val="left" w:pos="0"/>
        </w:tabs>
        <w:spacing w:after="240"/>
        <w:jc w:val="both"/>
        <w:rPr>
          <w:rFonts w:cs="Arial"/>
          <w:b/>
          <w:bCs/>
          <w:color w:val="000000" w:themeColor="text1"/>
          <w:szCs w:val="22"/>
        </w:rPr>
      </w:pPr>
      <w:r w:rsidRPr="00244B7D">
        <w:rPr>
          <w:rFonts w:cs="Arial"/>
          <w:b/>
          <w:bCs/>
          <w:color w:val="000000" w:themeColor="text1"/>
          <w:szCs w:val="22"/>
        </w:rPr>
        <w:t>Проблемные аспекты и перспективы</w:t>
      </w:r>
    </w:p>
    <w:p w14:paraId="6751A973" w14:textId="1F8D11C1" w:rsidR="00590C03" w:rsidRPr="00244B7D" w:rsidRDefault="008823B5" w:rsidP="00454BFB">
      <w:pPr>
        <w:pStyle w:val="ListParagraph"/>
        <w:numPr>
          <w:ilvl w:val="0"/>
          <w:numId w:val="42"/>
        </w:numPr>
        <w:tabs>
          <w:tab w:val="left" w:pos="0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 w:cs="Arial"/>
          <w:sz w:val="22"/>
          <w:szCs w:val="22"/>
        </w:rPr>
      </w:pPr>
      <w:r w:rsidRPr="00244B7D">
        <w:rPr>
          <w:rFonts w:ascii="Arial" w:hAnsi="Arial" w:cs="Arial"/>
          <w:b/>
          <w:sz w:val="22"/>
          <w:szCs w:val="22"/>
        </w:rPr>
        <w:t>Ограниченность кадровых и финансовых возможностей</w:t>
      </w:r>
      <w:r w:rsidR="00454BFB" w:rsidRPr="00454BFB">
        <w:rPr>
          <w:rFonts w:ascii="Arial" w:hAnsi="Arial" w:cs="Arial"/>
          <w:bCs/>
          <w:sz w:val="22"/>
          <w:szCs w:val="22"/>
        </w:rPr>
        <w:t>.</w:t>
      </w:r>
      <w:r w:rsidR="00244B7D" w:rsidRPr="00244B7D">
        <w:rPr>
          <w:rFonts w:ascii="Arial" w:hAnsi="Arial" w:cs="Arial"/>
          <w:sz w:val="22"/>
          <w:szCs w:val="22"/>
        </w:rPr>
        <w:t xml:space="preserve"> </w:t>
      </w:r>
      <w:r w:rsidRPr="00244B7D">
        <w:rPr>
          <w:rFonts w:ascii="Arial" w:hAnsi="Arial" w:cs="Arial"/>
          <w:sz w:val="22"/>
          <w:szCs w:val="22"/>
        </w:rPr>
        <w:t xml:space="preserve">Несмотря на растущее признание важной роли МОК, недоукомплектованность персоналом в областях, которые были определены государствами-членами как «критически уязвимые», создавало серьезные сложности. Ограниченность кадровых возможностей не только затрудняет выполнение программы, но ставит под вопрос нашу способность реализовать амбициозные планы, касающиеся привлечения ресурсов. Обеспечение эффективного функционирования и развития таких важных систем, как Система океанографических данных и информации (ОДИС), Система информации о морском биологическом разнообразии (ОБИС) и Глобальная система наблюдений за океаном (ГСНО), имеет решающее значение для выполнения государствами-членами своих национальных и глобальных обязательств. Будучи неразрывно связаны с задачами в области морских научных исследований, развития экономики и государственного управления, эти обязательства предполагают </w:t>
      </w:r>
      <w:r w:rsidR="00EA7AA0">
        <w:rPr>
          <w:rFonts w:ascii="Arial" w:hAnsi="Arial" w:cs="Arial"/>
          <w:sz w:val="22"/>
          <w:szCs w:val="22"/>
        </w:rPr>
        <w:t xml:space="preserve">наличие </w:t>
      </w:r>
      <w:r w:rsidRPr="00EA7AA0">
        <w:rPr>
          <w:rFonts w:ascii="Arial" w:hAnsi="Arial" w:cs="Arial"/>
          <w:sz w:val="22"/>
          <w:szCs w:val="22"/>
        </w:rPr>
        <w:t>стабильного и бесперебойного финанс</w:t>
      </w:r>
      <w:r w:rsidRPr="00244B7D">
        <w:rPr>
          <w:rFonts w:ascii="Arial" w:hAnsi="Arial" w:cs="Arial"/>
          <w:sz w:val="22"/>
          <w:szCs w:val="22"/>
        </w:rPr>
        <w:t>ирования. Для полноценной реализации планов Десятилетия науки об океане необходимы более существенные инвестиции. Решение таких амбициозных задач, как обеспечение к 2030 г. готовности к цунами 100% населения, проживающего в зоне риска, и полное картирование морского дна, предусмотренное в проекте «Морское дно-2030», требуют увеличения ресурсной базы и скоординированных глобальных усилий.</w:t>
      </w:r>
    </w:p>
    <w:p w14:paraId="0F6CA397" w14:textId="4C2B3BEE" w:rsidR="008D1EEC" w:rsidRPr="00244B7D" w:rsidRDefault="00D44B24" w:rsidP="00454BFB">
      <w:pPr>
        <w:pStyle w:val="ListParagraph"/>
        <w:numPr>
          <w:ilvl w:val="0"/>
          <w:numId w:val="42"/>
        </w:numPr>
        <w:tabs>
          <w:tab w:val="left" w:pos="0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244B7D">
        <w:rPr>
          <w:rFonts w:ascii="Arial" w:hAnsi="Arial" w:cs="Arial"/>
          <w:b/>
          <w:bCs/>
          <w:sz w:val="22"/>
          <w:szCs w:val="22"/>
        </w:rPr>
        <w:lastRenderedPageBreak/>
        <w:t>Повышение эффективности через расширение партнерского взаимодействия</w:t>
      </w:r>
      <w:r w:rsidR="00454BFB" w:rsidRPr="00454BFB">
        <w:rPr>
          <w:rFonts w:ascii="Arial" w:hAnsi="Arial" w:cs="Arial"/>
          <w:sz w:val="22"/>
          <w:szCs w:val="22"/>
        </w:rPr>
        <w:t>.</w:t>
      </w:r>
      <w:r w:rsidR="00244B7D" w:rsidRPr="00244B7D">
        <w:rPr>
          <w:rFonts w:ascii="Arial" w:hAnsi="Arial" w:cs="Arial"/>
          <w:b/>
          <w:bCs/>
          <w:sz w:val="22"/>
          <w:szCs w:val="22"/>
        </w:rPr>
        <w:t xml:space="preserve"> </w:t>
      </w:r>
      <w:r w:rsidRPr="00244B7D">
        <w:rPr>
          <w:rFonts w:ascii="Arial" w:hAnsi="Arial" w:cs="Arial"/>
          <w:sz w:val="22"/>
          <w:szCs w:val="22"/>
        </w:rPr>
        <w:t xml:space="preserve">Альянс в поддержку Десятилетия науки об океане продолжит стимулировать эффективное сотрудничество. Участие в проведении Десятилетия благотворительных организаций в форме проведения серии совещаний «Диалог благотворительных фондов», а также партнерское взаимодействие с такими организациями, как </w:t>
      </w:r>
      <w:proofErr w:type="spellStart"/>
      <w:r w:rsidRPr="00244B7D">
        <w:rPr>
          <w:rFonts w:ascii="Arial" w:hAnsi="Arial" w:cs="Arial"/>
          <w:sz w:val="22"/>
          <w:szCs w:val="22"/>
        </w:rPr>
        <w:t>Бельмонтский</w:t>
      </w:r>
      <w:proofErr w:type="spellEnd"/>
      <w:r w:rsidRPr="00244B7D">
        <w:rPr>
          <w:rFonts w:ascii="Arial" w:hAnsi="Arial" w:cs="Arial"/>
          <w:sz w:val="22"/>
          <w:szCs w:val="22"/>
        </w:rPr>
        <w:t xml:space="preserve"> форум и Партнерство по устойчивой «голубой экономике» под эгидой Европейской комиссии, открывают новые возможности для совместных инициатив и призывов к действиям. МОК продолжит укреплять свое участие в качестве партнера, представляющего научное сообщество, в рамках глобальных инициатив, включая «Группу двадцати», «Группу семи» и Группу высокого уровня по устойчивой морской экономики. Укрепление партнерства с международными организациями и органами ООН станет залогом нашего успеха. Такие новаторские инициативы, как сотрудничество с ВМО и взаимодействие с кругосветной регатой яхт-одиночек (</w:t>
      </w:r>
      <w:proofErr w:type="spellStart"/>
      <w:r w:rsidRPr="00244B7D">
        <w:rPr>
          <w:rFonts w:ascii="Arial" w:hAnsi="Arial" w:cs="Arial"/>
          <w:sz w:val="22"/>
          <w:szCs w:val="22"/>
        </w:rPr>
        <w:t>Vendée</w:t>
      </w:r>
      <w:proofErr w:type="spellEnd"/>
      <w:r w:rsidRPr="00244B7D">
        <w:rPr>
          <w:rFonts w:ascii="Arial" w:hAnsi="Arial" w:cs="Arial"/>
          <w:sz w:val="22"/>
          <w:szCs w:val="22"/>
        </w:rPr>
        <w:t xml:space="preserve"> Globe – 2024), участники которой помогали собирать ценные данные в недостаточно изученных акваториях, таких как Южный океан, а также образовательный проект «Море без границ», финансируемый Prada Group, будут способствовать дальнейшему расширению участия гражданского общества.</w:t>
      </w:r>
    </w:p>
    <w:p w14:paraId="15960F07" w14:textId="3278122C" w:rsidR="008D1EEC" w:rsidRPr="00244B7D" w:rsidRDefault="00D44B24" w:rsidP="00454BFB">
      <w:pPr>
        <w:pStyle w:val="ListParagraph"/>
        <w:numPr>
          <w:ilvl w:val="0"/>
          <w:numId w:val="42"/>
        </w:numPr>
        <w:tabs>
          <w:tab w:val="left" w:pos="0"/>
          <w:tab w:val="left" w:pos="567"/>
        </w:tabs>
        <w:snapToGrid w:val="0"/>
        <w:spacing w:after="240"/>
        <w:ind w:left="0" w:firstLine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244B7D">
        <w:rPr>
          <w:rFonts w:ascii="Arial" w:hAnsi="Arial" w:cs="Arial"/>
          <w:b/>
          <w:bCs/>
          <w:sz w:val="22"/>
          <w:szCs w:val="22"/>
        </w:rPr>
        <w:t>Повышение вовлеченности государств-членов</w:t>
      </w:r>
      <w:r w:rsidR="00454BFB" w:rsidRPr="00454BFB">
        <w:rPr>
          <w:rFonts w:ascii="Arial" w:hAnsi="Arial" w:cs="Arial"/>
          <w:sz w:val="22"/>
          <w:szCs w:val="22"/>
        </w:rPr>
        <w:t xml:space="preserve">. </w:t>
      </w:r>
      <w:r w:rsidRPr="00244B7D">
        <w:rPr>
          <w:rFonts w:ascii="Arial" w:hAnsi="Arial" w:cs="Arial"/>
          <w:sz w:val="22"/>
          <w:szCs w:val="22"/>
        </w:rPr>
        <w:t>С учетом основополагающей цели, заключающейся в обеспечении более эффективной, оперативной и гибкой взаимосвязи между формированием базы научных знаний об океане, принятием решений и хозяйственным освоением морских ресурсов, необходимо продолжить изучение вопроса о том, в какой степени наша работа в этой области может стать более эффективной, оперативной и гибкой. Инициированная Ассамблеей МОК дискуссия на тему «МОК и будущее Мирового океана», а также ее призыв «упорядочить функционирование МОК и оптимизировать использование ресурсов, с тем чтобы они действительно соответствовали поставленным целям в условиях быстро меняющейся программы работы в сфере океана и с учетом растущих требований государств-членов и расширения многосторонних процессов», позвол</w:t>
      </w:r>
      <w:r w:rsidR="00647BEE">
        <w:rPr>
          <w:rFonts w:ascii="Arial" w:hAnsi="Arial" w:cs="Arial"/>
          <w:sz w:val="22"/>
          <w:szCs w:val="22"/>
        </w:rPr>
        <w:t>я</w:t>
      </w:r>
      <w:r w:rsidRPr="00244B7D">
        <w:rPr>
          <w:rFonts w:ascii="Arial" w:hAnsi="Arial" w:cs="Arial"/>
          <w:sz w:val="22"/>
          <w:szCs w:val="22"/>
        </w:rPr>
        <w:t>т государствам-членам обеспечить стратегическое руководство и активную вовлеченность в деятельность своей Комиссии.</w:t>
      </w:r>
    </w:p>
    <w:sectPr w:rsidR="008D1EEC" w:rsidRPr="00244B7D" w:rsidSect="003F7186">
      <w:headerReference w:type="even" r:id="rId21"/>
      <w:headerReference w:type="default" r:id="rId22"/>
      <w:headerReference w:type="first" r:id="rId23"/>
      <w:type w:val="oddPage"/>
      <w:pgSz w:w="11906" w:h="16838" w:code="9"/>
      <w:pgMar w:top="1418" w:right="1134" w:bottom="1134" w:left="1134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ED75A" w14:textId="77777777" w:rsidR="00654F98" w:rsidRDefault="00654F98">
      <w:r>
        <w:separator/>
      </w:r>
    </w:p>
  </w:endnote>
  <w:endnote w:type="continuationSeparator" w:id="0">
    <w:p w14:paraId="50E18CD6" w14:textId="77777777" w:rsidR="00654F98" w:rsidRDefault="00654F98">
      <w:r>
        <w:continuationSeparator/>
      </w:r>
    </w:p>
  </w:endnote>
  <w:endnote w:type="continuationNotice" w:id="1">
    <w:p w14:paraId="1D2B836D" w14:textId="77777777" w:rsidR="00654F98" w:rsidRDefault="00654F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142F6" w14:textId="77777777" w:rsidR="00654F98" w:rsidRDefault="00654F98">
      <w:r>
        <w:separator/>
      </w:r>
    </w:p>
  </w:footnote>
  <w:footnote w:type="continuationSeparator" w:id="0">
    <w:p w14:paraId="1677FA34" w14:textId="77777777" w:rsidR="00654F98" w:rsidRDefault="00654F98">
      <w:r>
        <w:continuationSeparator/>
      </w:r>
    </w:p>
  </w:footnote>
  <w:footnote w:type="continuationNotice" w:id="1">
    <w:p w14:paraId="39AFBBB3" w14:textId="77777777" w:rsidR="00654F98" w:rsidRDefault="00654F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719C4" w14:textId="77777777" w:rsidR="00441140" w:rsidRPr="00244B7D" w:rsidRDefault="00441140">
    <w:pPr>
      <w:pStyle w:val="Header"/>
      <w:rPr>
        <w:szCs w:val="22"/>
        <w:lang w:val="en-US"/>
      </w:rPr>
    </w:pPr>
    <w:r w:rsidRPr="00244B7D">
      <w:rPr>
        <w:lang w:val="en-US"/>
      </w:rPr>
      <w:t>ICG/CARIBE-EWS II/WD </w:t>
    </w:r>
    <w:r w:rsidRPr="00244B7D">
      <w:rPr>
        <w:szCs w:val="22"/>
        <w:highlight w:val="cyan"/>
        <w:lang w:val="en-US"/>
      </w:rPr>
      <w:t>__</w:t>
    </w:r>
  </w:p>
  <w:p w14:paraId="6A24548F" w14:textId="77777777" w:rsidR="00441140" w:rsidRPr="00C962F0" w:rsidRDefault="00441140">
    <w:pPr>
      <w:pStyle w:val="Header"/>
      <w:rPr>
        <w:szCs w:val="22"/>
      </w:rPr>
    </w:pPr>
    <w:r>
      <w:t>Page </w:t>
    </w:r>
    <w:r w:rsidRPr="00C962F0">
      <w:rPr>
        <w:rStyle w:val="PageNumber"/>
        <w:szCs w:val="22"/>
      </w:rPr>
      <w:fldChar w:fldCharType="begin"/>
    </w:r>
    <w:r w:rsidRPr="00C962F0">
      <w:rPr>
        <w:rStyle w:val="PageNumber"/>
        <w:szCs w:val="22"/>
      </w:rPr>
      <w:instrText xml:space="preserve"> PAGE </w:instrText>
    </w:r>
    <w:r w:rsidRPr="00C962F0">
      <w:rPr>
        <w:rStyle w:val="PageNumber"/>
        <w:szCs w:val="22"/>
      </w:rPr>
      <w:fldChar w:fldCharType="separate"/>
    </w:r>
    <w:r>
      <w:rPr>
        <w:rStyle w:val="PageNumber"/>
        <w:szCs w:val="22"/>
      </w:rPr>
      <w:t>2</w:t>
    </w:r>
    <w:r w:rsidRPr="00C962F0">
      <w:rPr>
        <w:rStyle w:val="PageNumber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ED62A" w14:textId="77777777" w:rsidR="00441140" w:rsidRPr="00746B89" w:rsidRDefault="00441140" w:rsidP="00DF2FB9">
    <w:pPr>
      <w:pStyle w:val="Header"/>
      <w:tabs>
        <w:tab w:val="clear" w:pos="8306"/>
      </w:tabs>
      <w:rPr>
        <w:szCs w:val="22"/>
      </w:rPr>
    </w:pPr>
    <w:r>
      <w:t xml:space="preserve">IOC-XXIV/2 </w:t>
    </w:r>
    <w:proofErr w:type="spellStart"/>
    <w:r>
      <w:t>Annex</w:t>
    </w:r>
    <w:proofErr w:type="spellEnd"/>
    <w:r>
      <w:t xml:space="preserve"> </w:t>
    </w:r>
    <w:r>
      <w:rPr>
        <w:szCs w:val="22"/>
        <w:highlight w:val="yellow"/>
      </w:rPr>
      <w:t>__</w:t>
    </w:r>
  </w:p>
  <w:p w14:paraId="70AB0676" w14:textId="77777777" w:rsidR="00441140" w:rsidRPr="00746B89" w:rsidRDefault="00441140" w:rsidP="00DF2FB9">
    <w:pPr>
      <w:pStyle w:val="Header"/>
      <w:tabs>
        <w:tab w:val="clear" w:pos="8306"/>
      </w:tabs>
      <w:rPr>
        <w:szCs w:val="22"/>
      </w:rPr>
    </w:pPr>
    <w:r>
      <w:t>Page </w:t>
    </w:r>
    <w:r w:rsidRPr="00746B89">
      <w:rPr>
        <w:rStyle w:val="PageNumber"/>
        <w:szCs w:val="22"/>
      </w:rPr>
      <w:fldChar w:fldCharType="begin"/>
    </w:r>
    <w:r w:rsidRPr="00746B89">
      <w:rPr>
        <w:rStyle w:val="PageNumber"/>
        <w:szCs w:val="22"/>
      </w:rPr>
      <w:instrText xml:space="preserve"> PAGE </w:instrText>
    </w:r>
    <w:r w:rsidRPr="00746B89">
      <w:rPr>
        <w:rStyle w:val="PageNumber"/>
        <w:szCs w:val="22"/>
      </w:rPr>
      <w:fldChar w:fldCharType="separate"/>
    </w:r>
    <w:r>
      <w:rPr>
        <w:rStyle w:val="PageNumber"/>
        <w:szCs w:val="22"/>
      </w:rPr>
      <w:t>3</w:t>
    </w:r>
    <w:r w:rsidRPr="00746B89">
      <w:rPr>
        <w:rStyle w:val="PageNumber"/>
        <w:szCs w:val="22"/>
      </w:rPr>
      <w:fldChar w:fldCharType="end"/>
    </w:r>
  </w:p>
  <w:p w14:paraId="6C23CAB6" w14:textId="77777777" w:rsidR="00441140" w:rsidRPr="00DF2FB9" w:rsidRDefault="00441140" w:rsidP="00DF2FB9">
    <w:pPr>
      <w:pStyle w:val="Header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6D51F" w14:textId="71D6AC16" w:rsidR="00C12E5A" w:rsidRPr="007C710A" w:rsidRDefault="00C12E5A" w:rsidP="00AA2CD5">
    <w:pPr>
      <w:pStyle w:val="Marge"/>
      <w:tabs>
        <w:tab w:val="left" w:pos="6096"/>
        <w:tab w:val="left" w:pos="7560"/>
      </w:tabs>
      <w:spacing w:after="0"/>
      <w:rPr>
        <w:rFonts w:cs="Arial"/>
        <w:b/>
        <w:szCs w:val="22"/>
      </w:rPr>
    </w:pPr>
    <w:r>
      <w:t>Рассылается по списку</w:t>
    </w:r>
    <w:r>
      <w:tab/>
    </w:r>
    <w:r>
      <w:rPr>
        <w:b/>
        <w:sz w:val="36"/>
        <w:szCs w:val="36"/>
      </w:rPr>
      <w:t>IOC/A-33/3.5.Doc(1)</w:t>
    </w:r>
  </w:p>
  <w:p w14:paraId="329B6935" w14:textId="77777777" w:rsidR="008205F0" w:rsidRDefault="00C12E5A" w:rsidP="00AA2CD5">
    <w:pPr>
      <w:tabs>
        <w:tab w:val="left" w:pos="6096"/>
        <w:tab w:val="left" w:pos="7560"/>
      </w:tabs>
      <w:jc w:val="both"/>
      <w:rPr>
        <w:rFonts w:asciiTheme="minorBidi" w:hAnsiTheme="minorBidi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68D4C686" wp14:editId="00519DD6">
          <wp:simplePos x="0" y="0"/>
          <wp:positionH relativeFrom="column">
            <wp:posOffset>-96875</wp:posOffset>
          </wp:positionH>
          <wp:positionV relativeFrom="paragraph">
            <wp:posOffset>101600</wp:posOffset>
          </wp:positionV>
          <wp:extent cx="1578610" cy="1047115"/>
          <wp:effectExtent l="0" t="0" r="2540" b="635"/>
          <wp:wrapSquare wrapText="bothSides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</w:r>
    <w:r>
      <w:rPr>
        <w:rFonts w:asciiTheme="minorBidi" w:hAnsiTheme="minorBidi"/>
      </w:rPr>
      <w:t>Париж, 14 апреля 2025 г.</w:t>
    </w:r>
  </w:p>
  <w:p w14:paraId="28CBEFA2" w14:textId="6AFB493A" w:rsidR="00C12E5A" w:rsidRPr="002D5222" w:rsidRDefault="008205F0" w:rsidP="00AA2CD5">
    <w:pPr>
      <w:tabs>
        <w:tab w:val="left" w:pos="6096"/>
        <w:tab w:val="left" w:pos="7560"/>
      </w:tabs>
      <w:jc w:val="both"/>
      <w:rPr>
        <w:rFonts w:asciiTheme="minorBidi" w:hAnsiTheme="minorBidi"/>
      </w:rPr>
    </w:pPr>
    <w:r>
      <w:rPr>
        <w:rFonts w:asciiTheme="minorBidi" w:hAnsiTheme="minorBidi"/>
      </w:rPr>
      <w:tab/>
      <w:t>Оригинал: английский</w:t>
    </w:r>
  </w:p>
  <w:p w14:paraId="32B4F112" w14:textId="77777777" w:rsidR="00C12E5A" w:rsidRPr="002D5222" w:rsidRDefault="00C12E5A" w:rsidP="00AA2CD5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45"/>
        <w:tab w:val="left" w:pos="5523"/>
        <w:tab w:val="left" w:pos="5670"/>
        <w:tab w:val="left" w:pos="5812"/>
        <w:tab w:val="left" w:pos="6096"/>
        <w:tab w:val="left" w:pos="7020"/>
        <w:tab w:val="left" w:pos="7088"/>
      </w:tabs>
      <w:jc w:val="both"/>
      <w:rPr>
        <w:rFonts w:asciiTheme="minorBidi" w:hAnsiTheme="minorBidi"/>
        <w:b/>
      </w:rPr>
    </w:pPr>
  </w:p>
  <w:p w14:paraId="6291037F" w14:textId="77777777" w:rsidR="00C12E5A" w:rsidRPr="002D5222" w:rsidRDefault="00C12E5A" w:rsidP="00C12E5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Theme="minorBidi" w:hAnsiTheme="minorBidi"/>
        <w:b/>
      </w:rPr>
    </w:pPr>
  </w:p>
  <w:p w14:paraId="704015AC" w14:textId="77777777" w:rsidR="00C12E5A" w:rsidRDefault="00C12E5A" w:rsidP="00C12E5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Theme="minorBidi" w:hAnsiTheme="minorBidi"/>
        <w:b/>
      </w:rPr>
    </w:pPr>
  </w:p>
  <w:p w14:paraId="32EBCD58" w14:textId="77777777" w:rsidR="00C12E5A" w:rsidRDefault="00C12E5A" w:rsidP="00C12E5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Theme="minorBidi" w:hAnsiTheme="minorBidi"/>
        <w:b/>
      </w:rPr>
    </w:pPr>
  </w:p>
  <w:p w14:paraId="4FB8D5E3" w14:textId="77777777" w:rsidR="00C12E5A" w:rsidRDefault="00C12E5A" w:rsidP="00C12E5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Theme="minorBidi" w:hAnsiTheme="minorBidi"/>
        <w:b/>
      </w:rPr>
    </w:pPr>
  </w:p>
  <w:p w14:paraId="40B06903" w14:textId="77777777" w:rsidR="00C12E5A" w:rsidRPr="002D5222" w:rsidRDefault="00C12E5A" w:rsidP="00C12E5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Theme="minorBidi" w:hAnsiTheme="minorBidi"/>
        <w:b/>
      </w:rPr>
    </w:pPr>
  </w:p>
  <w:p w14:paraId="658C4EF5" w14:textId="77777777" w:rsidR="00C12E5A" w:rsidRPr="002D5222" w:rsidRDefault="00C12E5A" w:rsidP="00C12E5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Theme="minorBidi" w:hAnsiTheme="minorBidi"/>
        <w:b/>
      </w:rPr>
    </w:pPr>
  </w:p>
  <w:p w14:paraId="167EC998" w14:textId="77777777" w:rsidR="00441140" w:rsidRPr="005E544C" w:rsidRDefault="00441140">
    <w:pPr>
      <w:pStyle w:val="Header"/>
      <w:rPr>
        <w:rFonts w:cs="Arial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A695D" w14:textId="48E715B9" w:rsidR="00441140" w:rsidRPr="00755478" w:rsidRDefault="00242324" w:rsidP="00C12E5A">
    <w:pPr>
      <w:pStyle w:val="Header"/>
      <w:tabs>
        <w:tab w:val="clear" w:pos="8306"/>
      </w:tabs>
      <w:rPr>
        <w:rFonts w:cs="Arial"/>
        <w:szCs w:val="22"/>
      </w:rPr>
    </w:pPr>
    <w:r w:rsidRPr="00755478">
      <w:rPr>
        <w:szCs w:val="22"/>
      </w:rPr>
      <w:t>IOC/A-33/3.5.Doc(1) – page </w:t>
    </w:r>
    <w:r w:rsidR="00441140" w:rsidRPr="00755478">
      <w:rPr>
        <w:rStyle w:val="PageNumber"/>
        <w:rFonts w:cs="Arial"/>
        <w:szCs w:val="22"/>
      </w:rPr>
      <w:fldChar w:fldCharType="begin"/>
    </w:r>
    <w:r w:rsidR="00441140" w:rsidRPr="00755478">
      <w:rPr>
        <w:rStyle w:val="PageNumber"/>
        <w:rFonts w:cs="Arial"/>
        <w:szCs w:val="22"/>
      </w:rPr>
      <w:instrText xml:space="preserve"> PAGE </w:instrText>
    </w:r>
    <w:r w:rsidR="00441140" w:rsidRPr="00755478">
      <w:rPr>
        <w:rStyle w:val="PageNumber"/>
        <w:rFonts w:cs="Arial"/>
        <w:szCs w:val="22"/>
      </w:rPr>
      <w:fldChar w:fldCharType="separate"/>
    </w:r>
    <w:r w:rsidR="00D0416A" w:rsidRPr="00755478">
      <w:rPr>
        <w:rStyle w:val="PageNumber"/>
        <w:rFonts w:cs="Arial"/>
        <w:szCs w:val="22"/>
      </w:rPr>
      <w:t>4</w:t>
    </w:r>
    <w:r w:rsidR="00441140" w:rsidRPr="00755478">
      <w:rPr>
        <w:rStyle w:val="PageNumber"/>
        <w:rFonts w:cs="Arial"/>
        <w:szCs w:val="22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0F2C3" w14:textId="1C187A91" w:rsidR="0037249C" w:rsidRPr="00755478" w:rsidRDefault="00EA6689" w:rsidP="00755478">
    <w:pPr>
      <w:pStyle w:val="Header"/>
      <w:tabs>
        <w:tab w:val="clear" w:pos="8306"/>
      </w:tabs>
      <w:ind w:firstLine="6521"/>
      <w:rPr>
        <w:rFonts w:cs="Arial"/>
        <w:szCs w:val="22"/>
      </w:rPr>
    </w:pPr>
    <w:r w:rsidRPr="00755478">
      <w:rPr>
        <w:szCs w:val="22"/>
      </w:rPr>
      <w:t>IOC/A-33/3.5.Doc(1) – page </w:t>
    </w:r>
    <w:r w:rsidR="0037249C" w:rsidRPr="00755478">
      <w:rPr>
        <w:rStyle w:val="PageNumber"/>
        <w:rFonts w:cs="Arial"/>
        <w:szCs w:val="22"/>
      </w:rPr>
      <w:fldChar w:fldCharType="begin"/>
    </w:r>
    <w:r w:rsidR="0037249C" w:rsidRPr="00755478">
      <w:rPr>
        <w:rStyle w:val="PageNumber"/>
        <w:rFonts w:cs="Arial"/>
        <w:szCs w:val="22"/>
      </w:rPr>
      <w:instrText xml:space="preserve"> PAGE </w:instrText>
    </w:r>
    <w:r w:rsidR="0037249C" w:rsidRPr="00755478">
      <w:rPr>
        <w:rStyle w:val="PageNumber"/>
        <w:rFonts w:cs="Arial"/>
        <w:szCs w:val="22"/>
      </w:rPr>
      <w:fldChar w:fldCharType="separate"/>
    </w:r>
    <w:r w:rsidR="00D0416A" w:rsidRPr="00755478">
      <w:rPr>
        <w:rStyle w:val="PageNumber"/>
        <w:rFonts w:cs="Arial"/>
        <w:szCs w:val="22"/>
      </w:rPr>
      <w:t>3</w:t>
    </w:r>
    <w:r w:rsidR="0037249C" w:rsidRPr="00755478">
      <w:rPr>
        <w:rStyle w:val="PageNumber"/>
        <w:rFonts w:cs="Arial"/>
        <w:szCs w:val="22"/>
      </w:rPr>
      <w:fldChar w:fldCharType="end"/>
    </w:r>
  </w:p>
  <w:p w14:paraId="6AAB52E1" w14:textId="77777777" w:rsidR="00441140" w:rsidRPr="00424DE6" w:rsidRDefault="00441140" w:rsidP="00AA2CD5">
    <w:pPr>
      <w:pStyle w:val="Header"/>
      <w:ind w:left="8364" w:firstLine="6804"/>
      <w:rPr>
        <w:rFonts w:cs="Arial"/>
        <w:szCs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AF427" w14:textId="713EF2DE" w:rsidR="00307660" w:rsidRPr="00755478" w:rsidRDefault="00242324" w:rsidP="00AA2CD5">
    <w:pPr>
      <w:pStyle w:val="Header"/>
      <w:tabs>
        <w:tab w:val="clear" w:pos="8306"/>
      </w:tabs>
      <w:ind w:right="119"/>
      <w:jc w:val="right"/>
      <w:rPr>
        <w:rFonts w:cs="Arial"/>
        <w:szCs w:val="22"/>
      </w:rPr>
    </w:pPr>
    <w:r w:rsidRPr="00755478">
      <w:rPr>
        <w:szCs w:val="22"/>
      </w:rPr>
      <w:t>IOC/A-33/3.5.Doc(1)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007E48FC"/>
    <w:lvl w:ilvl="0">
      <w:start w:val="1"/>
      <w:numFmt w:val="lowerRoman"/>
      <w:pStyle w:val="Listnumbered"/>
      <w:lvlText w:val="(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1" w15:restartNumberingAfterBreak="0">
    <w:nsid w:val="01D9043B"/>
    <w:multiLevelType w:val="hybridMultilevel"/>
    <w:tmpl w:val="F4167F0A"/>
    <w:lvl w:ilvl="0" w:tplc="043E3BCA">
      <w:start w:val="1"/>
      <w:numFmt w:val="decimal"/>
      <w:pStyle w:val="EX4text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63AC"/>
    <w:multiLevelType w:val="hybridMultilevel"/>
    <w:tmpl w:val="2506A2EE"/>
    <w:lvl w:ilvl="0" w:tplc="5410399A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52973"/>
    <w:multiLevelType w:val="hybridMultilevel"/>
    <w:tmpl w:val="B5FC1906"/>
    <w:lvl w:ilvl="0" w:tplc="C362FA3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B1C9C"/>
    <w:multiLevelType w:val="hybridMultilevel"/>
    <w:tmpl w:val="23A85EFA"/>
    <w:lvl w:ilvl="0" w:tplc="CFBCE88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108B5D50"/>
    <w:multiLevelType w:val="hybridMultilevel"/>
    <w:tmpl w:val="72964D36"/>
    <w:lvl w:ilvl="0" w:tplc="6B565D42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54160"/>
    <w:multiLevelType w:val="hybridMultilevel"/>
    <w:tmpl w:val="1F568C2A"/>
    <w:lvl w:ilvl="0" w:tplc="D0469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B39E8"/>
    <w:multiLevelType w:val="hybridMultilevel"/>
    <w:tmpl w:val="62E8B2BC"/>
    <w:lvl w:ilvl="0" w:tplc="C0DC364A">
      <w:start w:val="1"/>
      <w:numFmt w:val="lowerRoman"/>
      <w:lvlText w:val="(%1)"/>
      <w:lvlJc w:val="left"/>
      <w:pPr>
        <w:ind w:left="1069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4513F4"/>
    <w:multiLevelType w:val="hybridMultilevel"/>
    <w:tmpl w:val="C7FA78FE"/>
    <w:lvl w:ilvl="0" w:tplc="280A53C2">
      <w:start w:val="1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8" w:hanging="360"/>
      </w:pPr>
    </w:lvl>
    <w:lvl w:ilvl="2" w:tplc="040C001B" w:tentative="1">
      <w:start w:val="1"/>
      <w:numFmt w:val="lowerRoman"/>
      <w:lvlText w:val="%3."/>
      <w:lvlJc w:val="right"/>
      <w:pPr>
        <w:ind w:left="2238" w:hanging="180"/>
      </w:pPr>
    </w:lvl>
    <w:lvl w:ilvl="3" w:tplc="040C000F" w:tentative="1">
      <w:start w:val="1"/>
      <w:numFmt w:val="decimal"/>
      <w:lvlText w:val="%4."/>
      <w:lvlJc w:val="left"/>
      <w:pPr>
        <w:ind w:left="2958" w:hanging="360"/>
      </w:pPr>
    </w:lvl>
    <w:lvl w:ilvl="4" w:tplc="040C0019" w:tentative="1">
      <w:start w:val="1"/>
      <w:numFmt w:val="lowerLetter"/>
      <w:lvlText w:val="%5."/>
      <w:lvlJc w:val="left"/>
      <w:pPr>
        <w:ind w:left="3678" w:hanging="360"/>
      </w:pPr>
    </w:lvl>
    <w:lvl w:ilvl="5" w:tplc="040C001B" w:tentative="1">
      <w:start w:val="1"/>
      <w:numFmt w:val="lowerRoman"/>
      <w:lvlText w:val="%6."/>
      <w:lvlJc w:val="right"/>
      <w:pPr>
        <w:ind w:left="4398" w:hanging="180"/>
      </w:pPr>
    </w:lvl>
    <w:lvl w:ilvl="6" w:tplc="040C000F" w:tentative="1">
      <w:start w:val="1"/>
      <w:numFmt w:val="decimal"/>
      <w:lvlText w:val="%7."/>
      <w:lvlJc w:val="left"/>
      <w:pPr>
        <w:ind w:left="5118" w:hanging="360"/>
      </w:pPr>
    </w:lvl>
    <w:lvl w:ilvl="7" w:tplc="040C0019" w:tentative="1">
      <w:start w:val="1"/>
      <w:numFmt w:val="lowerLetter"/>
      <w:lvlText w:val="%8."/>
      <w:lvlJc w:val="left"/>
      <w:pPr>
        <w:ind w:left="5838" w:hanging="360"/>
      </w:pPr>
    </w:lvl>
    <w:lvl w:ilvl="8" w:tplc="040C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9" w15:restartNumberingAfterBreak="0">
    <w:nsid w:val="30CC4714"/>
    <w:multiLevelType w:val="multilevel"/>
    <w:tmpl w:val="3F98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1" w15:restartNumberingAfterBreak="0">
    <w:nsid w:val="33D06747"/>
    <w:multiLevelType w:val="hybridMultilevel"/>
    <w:tmpl w:val="C4847498"/>
    <w:lvl w:ilvl="0" w:tplc="35405A98">
      <w:start w:val="5"/>
      <w:numFmt w:val="bullet"/>
      <w:lvlText w:val="-"/>
      <w:lvlJc w:val="left"/>
      <w:pPr>
        <w:ind w:left="1086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2" w15:restartNumberingAfterBreak="0">
    <w:nsid w:val="376F6CF5"/>
    <w:multiLevelType w:val="multilevel"/>
    <w:tmpl w:val="66C8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ED7D0D"/>
    <w:multiLevelType w:val="multilevel"/>
    <w:tmpl w:val="5B40FBF6"/>
    <w:lvl w:ilvl="0">
      <w:start w:val="1"/>
      <w:numFmt w:val="decimal"/>
      <w:lvlText w:val="%1"/>
      <w:lvlJc w:val="left"/>
      <w:pPr>
        <w:tabs>
          <w:tab w:val="num" w:pos="720"/>
        </w:tabs>
        <w:ind w:left="0" w:firstLine="709"/>
      </w:pPr>
      <w:rPr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16202C"/>
    <w:multiLevelType w:val="hybridMultilevel"/>
    <w:tmpl w:val="5C465BE8"/>
    <w:lvl w:ilvl="0" w:tplc="6B842CB8">
      <w:start w:val="1"/>
      <w:numFmt w:val="upperLetter"/>
      <w:lvlText w:val="%1."/>
      <w:lvlJc w:val="left"/>
      <w:pPr>
        <w:ind w:left="644" w:hanging="360"/>
      </w:pPr>
      <w:rPr>
        <w:rFonts w:ascii="Arial" w:eastAsia="Arial Unicode MS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30DC1"/>
    <w:multiLevelType w:val="hybridMultilevel"/>
    <w:tmpl w:val="F508E1DE"/>
    <w:lvl w:ilvl="0" w:tplc="865E46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04C64"/>
    <w:multiLevelType w:val="hybridMultilevel"/>
    <w:tmpl w:val="56C4212A"/>
    <w:lvl w:ilvl="0" w:tplc="AB30E35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C768C1"/>
    <w:multiLevelType w:val="hybridMultilevel"/>
    <w:tmpl w:val="D3E809BA"/>
    <w:lvl w:ilvl="0" w:tplc="82E6549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1307C"/>
    <w:multiLevelType w:val="hybridMultilevel"/>
    <w:tmpl w:val="800A9C98"/>
    <w:lvl w:ilvl="0" w:tplc="E538536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D1B24"/>
    <w:multiLevelType w:val="hybridMultilevel"/>
    <w:tmpl w:val="8FA8CC8A"/>
    <w:lvl w:ilvl="0" w:tplc="1BF863B4">
      <w:start w:val="1"/>
      <w:numFmt w:val="decimal"/>
      <w:lvlText w:val="%1."/>
      <w:lvlJc w:val="left"/>
      <w:pPr>
        <w:ind w:left="8100" w:hanging="360"/>
      </w:pPr>
      <w:rPr>
        <w:rFonts w:ascii="Arial" w:hAnsi="Arial" w:cs="Aria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7110" w:hanging="360"/>
      </w:pPr>
    </w:lvl>
    <w:lvl w:ilvl="2" w:tplc="0809001B" w:tentative="1">
      <w:start w:val="1"/>
      <w:numFmt w:val="lowerRoman"/>
      <w:lvlText w:val="%3."/>
      <w:lvlJc w:val="right"/>
      <w:pPr>
        <w:ind w:left="7830" w:hanging="180"/>
      </w:pPr>
    </w:lvl>
    <w:lvl w:ilvl="3" w:tplc="0809000F" w:tentative="1">
      <w:start w:val="1"/>
      <w:numFmt w:val="decimal"/>
      <w:lvlText w:val="%4."/>
      <w:lvlJc w:val="left"/>
      <w:pPr>
        <w:ind w:left="8550" w:hanging="360"/>
      </w:pPr>
    </w:lvl>
    <w:lvl w:ilvl="4" w:tplc="08090019" w:tentative="1">
      <w:start w:val="1"/>
      <w:numFmt w:val="lowerLetter"/>
      <w:lvlText w:val="%5."/>
      <w:lvlJc w:val="left"/>
      <w:pPr>
        <w:ind w:left="9270" w:hanging="360"/>
      </w:pPr>
    </w:lvl>
    <w:lvl w:ilvl="5" w:tplc="0809001B" w:tentative="1">
      <w:start w:val="1"/>
      <w:numFmt w:val="lowerRoman"/>
      <w:lvlText w:val="%6."/>
      <w:lvlJc w:val="right"/>
      <w:pPr>
        <w:ind w:left="9990" w:hanging="180"/>
      </w:pPr>
    </w:lvl>
    <w:lvl w:ilvl="6" w:tplc="0809000F" w:tentative="1">
      <w:start w:val="1"/>
      <w:numFmt w:val="decimal"/>
      <w:lvlText w:val="%7."/>
      <w:lvlJc w:val="left"/>
      <w:pPr>
        <w:ind w:left="10710" w:hanging="360"/>
      </w:pPr>
    </w:lvl>
    <w:lvl w:ilvl="7" w:tplc="08090019" w:tentative="1">
      <w:start w:val="1"/>
      <w:numFmt w:val="lowerLetter"/>
      <w:lvlText w:val="%8."/>
      <w:lvlJc w:val="left"/>
      <w:pPr>
        <w:ind w:left="11430" w:hanging="360"/>
      </w:pPr>
    </w:lvl>
    <w:lvl w:ilvl="8" w:tplc="0809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20" w15:restartNumberingAfterBreak="0">
    <w:nsid w:val="601432EB"/>
    <w:multiLevelType w:val="hybridMultilevel"/>
    <w:tmpl w:val="5F0E0364"/>
    <w:lvl w:ilvl="0" w:tplc="957430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F256B"/>
    <w:multiLevelType w:val="multilevel"/>
    <w:tmpl w:val="A8647B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744B35C5"/>
    <w:multiLevelType w:val="hybridMultilevel"/>
    <w:tmpl w:val="256E4662"/>
    <w:lvl w:ilvl="0" w:tplc="1AA6A19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87526"/>
    <w:multiLevelType w:val="multilevel"/>
    <w:tmpl w:val="023A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776214"/>
    <w:multiLevelType w:val="multilevel"/>
    <w:tmpl w:val="5ECAF156"/>
    <w:lvl w:ilvl="0">
      <w:start w:val="1"/>
      <w:numFmt w:val="decimal"/>
      <w:lvlText w:val="%1."/>
      <w:lvlJc w:val="left"/>
      <w:pPr>
        <w:ind w:left="43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0" w:hanging="1584"/>
      </w:pPr>
      <w:rPr>
        <w:rFonts w:hint="default"/>
      </w:rPr>
    </w:lvl>
  </w:abstractNum>
  <w:num w:numId="1" w16cid:durableId="572937752">
    <w:abstractNumId w:val="10"/>
  </w:num>
  <w:num w:numId="2" w16cid:durableId="1678075405">
    <w:abstractNumId w:val="16"/>
  </w:num>
  <w:num w:numId="3" w16cid:durableId="2006280147">
    <w:abstractNumId w:val="0"/>
  </w:num>
  <w:num w:numId="4" w16cid:durableId="1321991">
    <w:abstractNumId w:val="2"/>
  </w:num>
  <w:num w:numId="5" w16cid:durableId="1734548371">
    <w:abstractNumId w:val="4"/>
  </w:num>
  <w:num w:numId="6" w16cid:durableId="946540261">
    <w:abstractNumId w:val="16"/>
  </w:num>
  <w:num w:numId="7" w16cid:durableId="761416369">
    <w:abstractNumId w:val="16"/>
  </w:num>
  <w:num w:numId="8" w16cid:durableId="587884316">
    <w:abstractNumId w:val="23"/>
  </w:num>
  <w:num w:numId="9" w16cid:durableId="1526602520">
    <w:abstractNumId w:val="12"/>
  </w:num>
  <w:num w:numId="10" w16cid:durableId="1237016383">
    <w:abstractNumId w:val="9"/>
  </w:num>
  <w:num w:numId="11" w16cid:durableId="1680545545">
    <w:abstractNumId w:val="20"/>
  </w:num>
  <w:num w:numId="12" w16cid:durableId="566458689">
    <w:abstractNumId w:val="21"/>
  </w:num>
  <w:num w:numId="13" w16cid:durableId="247929692">
    <w:abstractNumId w:val="18"/>
  </w:num>
  <w:num w:numId="14" w16cid:durableId="696547056">
    <w:abstractNumId w:val="14"/>
  </w:num>
  <w:num w:numId="15" w16cid:durableId="1131822702">
    <w:abstractNumId w:val="24"/>
  </w:num>
  <w:num w:numId="16" w16cid:durableId="693461447">
    <w:abstractNumId w:val="11"/>
  </w:num>
  <w:num w:numId="17" w16cid:durableId="1102726446">
    <w:abstractNumId w:val="7"/>
  </w:num>
  <w:num w:numId="18" w16cid:durableId="35786334">
    <w:abstractNumId w:val="17"/>
  </w:num>
  <w:num w:numId="19" w16cid:durableId="20788912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62318763">
    <w:abstractNumId w:val="3"/>
  </w:num>
  <w:num w:numId="21" w16cid:durableId="1722483817">
    <w:abstractNumId w:val="16"/>
    <w:lvlOverride w:ilvl="0">
      <w:startOverride w:val="1"/>
    </w:lvlOverride>
  </w:num>
  <w:num w:numId="22" w16cid:durableId="1832406208">
    <w:abstractNumId w:val="16"/>
  </w:num>
  <w:num w:numId="23" w16cid:durableId="1749376128">
    <w:abstractNumId w:val="16"/>
  </w:num>
  <w:num w:numId="24" w16cid:durableId="1684891873">
    <w:abstractNumId w:val="8"/>
  </w:num>
  <w:num w:numId="25" w16cid:durableId="1624456666">
    <w:abstractNumId w:val="22"/>
  </w:num>
  <w:num w:numId="26" w16cid:durableId="669796030">
    <w:abstractNumId w:val="16"/>
  </w:num>
  <w:num w:numId="27" w16cid:durableId="1807312026">
    <w:abstractNumId w:val="5"/>
  </w:num>
  <w:num w:numId="28" w16cid:durableId="801994466">
    <w:abstractNumId w:val="6"/>
  </w:num>
  <w:num w:numId="29" w16cid:durableId="400448360">
    <w:abstractNumId w:val="1"/>
  </w:num>
  <w:num w:numId="30" w16cid:durableId="1931044810">
    <w:abstractNumId w:val="1"/>
  </w:num>
  <w:num w:numId="31" w16cid:durableId="359353575">
    <w:abstractNumId w:val="1"/>
  </w:num>
  <w:num w:numId="32" w16cid:durableId="189152868">
    <w:abstractNumId w:val="1"/>
  </w:num>
  <w:num w:numId="33" w16cid:durableId="1190411679">
    <w:abstractNumId w:val="1"/>
  </w:num>
  <w:num w:numId="34" w16cid:durableId="1090857255">
    <w:abstractNumId w:val="1"/>
  </w:num>
  <w:num w:numId="35" w16cid:durableId="128254715">
    <w:abstractNumId w:val="1"/>
  </w:num>
  <w:num w:numId="36" w16cid:durableId="1063483451">
    <w:abstractNumId w:val="1"/>
  </w:num>
  <w:num w:numId="37" w16cid:durableId="419177891">
    <w:abstractNumId w:val="1"/>
  </w:num>
  <w:num w:numId="38" w16cid:durableId="296492527">
    <w:abstractNumId w:val="1"/>
  </w:num>
  <w:num w:numId="39" w16cid:durableId="1734766860">
    <w:abstractNumId w:val="1"/>
  </w:num>
  <w:num w:numId="40" w16cid:durableId="567305042">
    <w:abstractNumId w:val="1"/>
  </w:num>
  <w:num w:numId="41" w16cid:durableId="1726948244">
    <w:abstractNumId w:val="19"/>
  </w:num>
  <w:num w:numId="42" w16cid:durableId="5571124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oNotHyphenateCaps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AC"/>
    <w:rsid w:val="000021BC"/>
    <w:rsid w:val="00010BBB"/>
    <w:rsid w:val="000156E0"/>
    <w:rsid w:val="00020AA1"/>
    <w:rsid w:val="000278A0"/>
    <w:rsid w:val="00040227"/>
    <w:rsid w:val="000417CB"/>
    <w:rsid w:val="000560F7"/>
    <w:rsid w:val="00062051"/>
    <w:rsid w:val="00076BD8"/>
    <w:rsid w:val="00084687"/>
    <w:rsid w:val="00085274"/>
    <w:rsid w:val="00085D6A"/>
    <w:rsid w:val="00085D85"/>
    <w:rsid w:val="00090A62"/>
    <w:rsid w:val="000B276A"/>
    <w:rsid w:val="000B693C"/>
    <w:rsid w:val="000B7E2A"/>
    <w:rsid w:val="000C2EE5"/>
    <w:rsid w:val="000C38C8"/>
    <w:rsid w:val="000C61A0"/>
    <w:rsid w:val="000C6E08"/>
    <w:rsid w:val="000D16AC"/>
    <w:rsid w:val="000D5B8F"/>
    <w:rsid w:val="000E0239"/>
    <w:rsid w:val="000E3E1A"/>
    <w:rsid w:val="000E6EE5"/>
    <w:rsid w:val="000E73F9"/>
    <w:rsid w:val="000F0254"/>
    <w:rsid w:val="0010242E"/>
    <w:rsid w:val="001156AE"/>
    <w:rsid w:val="00123719"/>
    <w:rsid w:val="001241D7"/>
    <w:rsid w:val="0012479D"/>
    <w:rsid w:val="001370E4"/>
    <w:rsid w:val="00137BED"/>
    <w:rsid w:val="00137E97"/>
    <w:rsid w:val="001448C4"/>
    <w:rsid w:val="00152A1B"/>
    <w:rsid w:val="00155BA3"/>
    <w:rsid w:val="00163192"/>
    <w:rsid w:val="00166397"/>
    <w:rsid w:val="00167158"/>
    <w:rsid w:val="00171EF4"/>
    <w:rsid w:val="001732BA"/>
    <w:rsid w:val="001877F5"/>
    <w:rsid w:val="00196052"/>
    <w:rsid w:val="00196F31"/>
    <w:rsid w:val="001A037F"/>
    <w:rsid w:val="001A3EBC"/>
    <w:rsid w:val="001A58AE"/>
    <w:rsid w:val="001A63A0"/>
    <w:rsid w:val="001B3B24"/>
    <w:rsid w:val="001C21FC"/>
    <w:rsid w:val="001C2C69"/>
    <w:rsid w:val="001C6455"/>
    <w:rsid w:val="001C7875"/>
    <w:rsid w:val="001D27FC"/>
    <w:rsid w:val="001D75DB"/>
    <w:rsid w:val="001D7776"/>
    <w:rsid w:val="001E0980"/>
    <w:rsid w:val="001E7083"/>
    <w:rsid w:val="001E7522"/>
    <w:rsid w:val="001F5E0D"/>
    <w:rsid w:val="00203217"/>
    <w:rsid w:val="00217DF6"/>
    <w:rsid w:val="00223053"/>
    <w:rsid w:val="00242324"/>
    <w:rsid w:val="00244B7D"/>
    <w:rsid w:val="002579C2"/>
    <w:rsid w:val="002652F9"/>
    <w:rsid w:val="00274BB0"/>
    <w:rsid w:val="0027622C"/>
    <w:rsid w:val="002810CD"/>
    <w:rsid w:val="00285CF5"/>
    <w:rsid w:val="002A0AE0"/>
    <w:rsid w:val="002A19EF"/>
    <w:rsid w:val="002B282C"/>
    <w:rsid w:val="002B7A48"/>
    <w:rsid w:val="002C7DE3"/>
    <w:rsid w:val="002D14C8"/>
    <w:rsid w:val="002D441C"/>
    <w:rsid w:val="002D52FA"/>
    <w:rsid w:val="002E0859"/>
    <w:rsid w:val="002E09D1"/>
    <w:rsid w:val="002E2C57"/>
    <w:rsid w:val="002E2D68"/>
    <w:rsid w:val="002E6768"/>
    <w:rsid w:val="002E6D7F"/>
    <w:rsid w:val="00305778"/>
    <w:rsid w:val="00307660"/>
    <w:rsid w:val="0031161D"/>
    <w:rsid w:val="003178E9"/>
    <w:rsid w:val="00317E5D"/>
    <w:rsid w:val="003404ED"/>
    <w:rsid w:val="00340A23"/>
    <w:rsid w:val="0034156B"/>
    <w:rsid w:val="00347E19"/>
    <w:rsid w:val="003623CC"/>
    <w:rsid w:val="003631A7"/>
    <w:rsid w:val="003640DC"/>
    <w:rsid w:val="00364C91"/>
    <w:rsid w:val="0037184C"/>
    <w:rsid w:val="0037249C"/>
    <w:rsid w:val="003756CF"/>
    <w:rsid w:val="0038059E"/>
    <w:rsid w:val="003805F5"/>
    <w:rsid w:val="00387AE8"/>
    <w:rsid w:val="00393543"/>
    <w:rsid w:val="003A0024"/>
    <w:rsid w:val="003A1612"/>
    <w:rsid w:val="003A561A"/>
    <w:rsid w:val="003A7860"/>
    <w:rsid w:val="003B5530"/>
    <w:rsid w:val="003D3711"/>
    <w:rsid w:val="003E0E67"/>
    <w:rsid w:val="003F43F9"/>
    <w:rsid w:val="003F7186"/>
    <w:rsid w:val="004002D4"/>
    <w:rsid w:val="00413F17"/>
    <w:rsid w:val="004165C9"/>
    <w:rsid w:val="00424DE6"/>
    <w:rsid w:val="00434F47"/>
    <w:rsid w:val="0043609D"/>
    <w:rsid w:val="00441140"/>
    <w:rsid w:val="00451B96"/>
    <w:rsid w:val="004529B8"/>
    <w:rsid w:val="00454BFB"/>
    <w:rsid w:val="00454C74"/>
    <w:rsid w:val="00467E3F"/>
    <w:rsid w:val="004827E4"/>
    <w:rsid w:val="0048449B"/>
    <w:rsid w:val="00490261"/>
    <w:rsid w:val="0049221C"/>
    <w:rsid w:val="00497E20"/>
    <w:rsid w:val="004A135F"/>
    <w:rsid w:val="004A5784"/>
    <w:rsid w:val="004B4ECA"/>
    <w:rsid w:val="004B7BD6"/>
    <w:rsid w:val="004C1625"/>
    <w:rsid w:val="004D6679"/>
    <w:rsid w:val="004E0B15"/>
    <w:rsid w:val="004F397F"/>
    <w:rsid w:val="004F7D6C"/>
    <w:rsid w:val="0050245B"/>
    <w:rsid w:val="00515584"/>
    <w:rsid w:val="00525395"/>
    <w:rsid w:val="00526572"/>
    <w:rsid w:val="0053255C"/>
    <w:rsid w:val="00536148"/>
    <w:rsid w:val="005407B6"/>
    <w:rsid w:val="00547068"/>
    <w:rsid w:val="0058198C"/>
    <w:rsid w:val="00587137"/>
    <w:rsid w:val="00590C03"/>
    <w:rsid w:val="005B2FDF"/>
    <w:rsid w:val="005B57CA"/>
    <w:rsid w:val="005B5B97"/>
    <w:rsid w:val="005C02B7"/>
    <w:rsid w:val="005C7A36"/>
    <w:rsid w:val="005C7D76"/>
    <w:rsid w:val="005D0ADD"/>
    <w:rsid w:val="005E1C99"/>
    <w:rsid w:val="005E544C"/>
    <w:rsid w:val="005E6889"/>
    <w:rsid w:val="005F4D23"/>
    <w:rsid w:val="005F6E3A"/>
    <w:rsid w:val="00602A67"/>
    <w:rsid w:val="006110DA"/>
    <w:rsid w:val="0062678D"/>
    <w:rsid w:val="006308BD"/>
    <w:rsid w:val="00633EA5"/>
    <w:rsid w:val="00637672"/>
    <w:rsid w:val="00647BEE"/>
    <w:rsid w:val="00654F98"/>
    <w:rsid w:val="00676F33"/>
    <w:rsid w:val="0068128E"/>
    <w:rsid w:val="006842FA"/>
    <w:rsid w:val="0068682C"/>
    <w:rsid w:val="00687541"/>
    <w:rsid w:val="00690A0C"/>
    <w:rsid w:val="00690FD2"/>
    <w:rsid w:val="00693199"/>
    <w:rsid w:val="00696079"/>
    <w:rsid w:val="006A761F"/>
    <w:rsid w:val="006B2FDD"/>
    <w:rsid w:val="006B4B95"/>
    <w:rsid w:val="006B51BA"/>
    <w:rsid w:val="006B59E2"/>
    <w:rsid w:val="006C18D9"/>
    <w:rsid w:val="006C1BDA"/>
    <w:rsid w:val="006C6449"/>
    <w:rsid w:val="006D1125"/>
    <w:rsid w:val="006D3998"/>
    <w:rsid w:val="006D5041"/>
    <w:rsid w:val="006E1454"/>
    <w:rsid w:val="006E3870"/>
    <w:rsid w:val="006E692F"/>
    <w:rsid w:val="006E7073"/>
    <w:rsid w:val="006F0C64"/>
    <w:rsid w:val="006F1F38"/>
    <w:rsid w:val="00703F52"/>
    <w:rsid w:val="00723A8F"/>
    <w:rsid w:val="00735830"/>
    <w:rsid w:val="007367B0"/>
    <w:rsid w:val="00737A18"/>
    <w:rsid w:val="00741CAA"/>
    <w:rsid w:val="007457B7"/>
    <w:rsid w:val="00746B89"/>
    <w:rsid w:val="007471D6"/>
    <w:rsid w:val="00755478"/>
    <w:rsid w:val="00762C36"/>
    <w:rsid w:val="00785386"/>
    <w:rsid w:val="007870B1"/>
    <w:rsid w:val="0079212B"/>
    <w:rsid w:val="007B1B9A"/>
    <w:rsid w:val="007C1458"/>
    <w:rsid w:val="007C21A4"/>
    <w:rsid w:val="007D3B71"/>
    <w:rsid w:val="007E4F92"/>
    <w:rsid w:val="00801754"/>
    <w:rsid w:val="0080407D"/>
    <w:rsid w:val="008048D2"/>
    <w:rsid w:val="00806C60"/>
    <w:rsid w:val="00813CAF"/>
    <w:rsid w:val="008205F0"/>
    <w:rsid w:val="008302D7"/>
    <w:rsid w:val="00831211"/>
    <w:rsid w:val="00841D8A"/>
    <w:rsid w:val="0084251A"/>
    <w:rsid w:val="00850CB1"/>
    <w:rsid w:val="00853565"/>
    <w:rsid w:val="00854DA0"/>
    <w:rsid w:val="00863113"/>
    <w:rsid w:val="00867FCD"/>
    <w:rsid w:val="00870C14"/>
    <w:rsid w:val="00870CE7"/>
    <w:rsid w:val="008754BE"/>
    <w:rsid w:val="00875ECD"/>
    <w:rsid w:val="008823B5"/>
    <w:rsid w:val="008849F0"/>
    <w:rsid w:val="0089077E"/>
    <w:rsid w:val="00891331"/>
    <w:rsid w:val="00891D09"/>
    <w:rsid w:val="00893AD3"/>
    <w:rsid w:val="0089563B"/>
    <w:rsid w:val="008A4F60"/>
    <w:rsid w:val="008A6E5C"/>
    <w:rsid w:val="008B2DC6"/>
    <w:rsid w:val="008B384B"/>
    <w:rsid w:val="008B4705"/>
    <w:rsid w:val="008B4C73"/>
    <w:rsid w:val="008D1EEC"/>
    <w:rsid w:val="008D2398"/>
    <w:rsid w:val="008D548F"/>
    <w:rsid w:val="008E3DD1"/>
    <w:rsid w:val="008F0FBC"/>
    <w:rsid w:val="008F5B6C"/>
    <w:rsid w:val="008F6942"/>
    <w:rsid w:val="009026D3"/>
    <w:rsid w:val="00930670"/>
    <w:rsid w:val="00936C3F"/>
    <w:rsid w:val="00937EF7"/>
    <w:rsid w:val="0094763F"/>
    <w:rsid w:val="00950A83"/>
    <w:rsid w:val="00952863"/>
    <w:rsid w:val="00961211"/>
    <w:rsid w:val="0096159B"/>
    <w:rsid w:val="00966A0F"/>
    <w:rsid w:val="00980050"/>
    <w:rsid w:val="00980B08"/>
    <w:rsid w:val="00987BBD"/>
    <w:rsid w:val="00993CA4"/>
    <w:rsid w:val="009A62A9"/>
    <w:rsid w:val="009B2E7D"/>
    <w:rsid w:val="009B63AB"/>
    <w:rsid w:val="009C0A89"/>
    <w:rsid w:val="009C13EF"/>
    <w:rsid w:val="009C15B1"/>
    <w:rsid w:val="009D30AD"/>
    <w:rsid w:val="009E6A03"/>
    <w:rsid w:val="009E78BB"/>
    <w:rsid w:val="009F2FC0"/>
    <w:rsid w:val="009F7769"/>
    <w:rsid w:val="00A01A30"/>
    <w:rsid w:val="00A02F9F"/>
    <w:rsid w:val="00A11697"/>
    <w:rsid w:val="00A14093"/>
    <w:rsid w:val="00A203FC"/>
    <w:rsid w:val="00A23B4A"/>
    <w:rsid w:val="00A25BC8"/>
    <w:rsid w:val="00A27BD9"/>
    <w:rsid w:val="00A43E9C"/>
    <w:rsid w:val="00A51715"/>
    <w:rsid w:val="00A6612C"/>
    <w:rsid w:val="00A66FC7"/>
    <w:rsid w:val="00A67718"/>
    <w:rsid w:val="00A759A6"/>
    <w:rsid w:val="00A92572"/>
    <w:rsid w:val="00A92893"/>
    <w:rsid w:val="00A931AA"/>
    <w:rsid w:val="00AA2B13"/>
    <w:rsid w:val="00AA2CD5"/>
    <w:rsid w:val="00AC6A22"/>
    <w:rsid w:val="00AC6BA4"/>
    <w:rsid w:val="00AC773C"/>
    <w:rsid w:val="00AD3D55"/>
    <w:rsid w:val="00AD494A"/>
    <w:rsid w:val="00AD7234"/>
    <w:rsid w:val="00AE329C"/>
    <w:rsid w:val="00B042BC"/>
    <w:rsid w:val="00B06427"/>
    <w:rsid w:val="00B13226"/>
    <w:rsid w:val="00B3287E"/>
    <w:rsid w:val="00B37EDA"/>
    <w:rsid w:val="00B55C66"/>
    <w:rsid w:val="00B64631"/>
    <w:rsid w:val="00B722DE"/>
    <w:rsid w:val="00B73F4F"/>
    <w:rsid w:val="00B818D2"/>
    <w:rsid w:val="00B83068"/>
    <w:rsid w:val="00B838FB"/>
    <w:rsid w:val="00B94164"/>
    <w:rsid w:val="00BA0B22"/>
    <w:rsid w:val="00BA76D9"/>
    <w:rsid w:val="00BA7B00"/>
    <w:rsid w:val="00BB5D00"/>
    <w:rsid w:val="00BC2FD9"/>
    <w:rsid w:val="00BD6603"/>
    <w:rsid w:val="00BD6E89"/>
    <w:rsid w:val="00BE35BA"/>
    <w:rsid w:val="00BE4427"/>
    <w:rsid w:val="00BE68DC"/>
    <w:rsid w:val="00BF069C"/>
    <w:rsid w:val="00BF1838"/>
    <w:rsid w:val="00BF378D"/>
    <w:rsid w:val="00BF3835"/>
    <w:rsid w:val="00BF45BD"/>
    <w:rsid w:val="00BF6786"/>
    <w:rsid w:val="00BF67E7"/>
    <w:rsid w:val="00C008B0"/>
    <w:rsid w:val="00C05769"/>
    <w:rsid w:val="00C1002D"/>
    <w:rsid w:val="00C11C55"/>
    <w:rsid w:val="00C12E5A"/>
    <w:rsid w:val="00C14DD3"/>
    <w:rsid w:val="00C16294"/>
    <w:rsid w:val="00C253EF"/>
    <w:rsid w:val="00C2635E"/>
    <w:rsid w:val="00C31853"/>
    <w:rsid w:val="00C318D0"/>
    <w:rsid w:val="00C42FFB"/>
    <w:rsid w:val="00C6486C"/>
    <w:rsid w:val="00C648D3"/>
    <w:rsid w:val="00C6660D"/>
    <w:rsid w:val="00C674AF"/>
    <w:rsid w:val="00C7393A"/>
    <w:rsid w:val="00C75B02"/>
    <w:rsid w:val="00C76160"/>
    <w:rsid w:val="00C77DDE"/>
    <w:rsid w:val="00C86109"/>
    <w:rsid w:val="00C87727"/>
    <w:rsid w:val="00C962F0"/>
    <w:rsid w:val="00CB2684"/>
    <w:rsid w:val="00CC419E"/>
    <w:rsid w:val="00CC7056"/>
    <w:rsid w:val="00CD4AED"/>
    <w:rsid w:val="00CD6EF7"/>
    <w:rsid w:val="00CE1B68"/>
    <w:rsid w:val="00CE799A"/>
    <w:rsid w:val="00CF0138"/>
    <w:rsid w:val="00D013ED"/>
    <w:rsid w:val="00D0416A"/>
    <w:rsid w:val="00D06F71"/>
    <w:rsid w:val="00D166EE"/>
    <w:rsid w:val="00D2392E"/>
    <w:rsid w:val="00D265AD"/>
    <w:rsid w:val="00D27F78"/>
    <w:rsid w:val="00D36BDC"/>
    <w:rsid w:val="00D379A6"/>
    <w:rsid w:val="00D43CC7"/>
    <w:rsid w:val="00D448A1"/>
    <w:rsid w:val="00D44B24"/>
    <w:rsid w:val="00D5049E"/>
    <w:rsid w:val="00D55FEC"/>
    <w:rsid w:val="00D71125"/>
    <w:rsid w:val="00D859D0"/>
    <w:rsid w:val="00D91C09"/>
    <w:rsid w:val="00D92DD1"/>
    <w:rsid w:val="00D94032"/>
    <w:rsid w:val="00D95CAD"/>
    <w:rsid w:val="00D96F5C"/>
    <w:rsid w:val="00DB1DFA"/>
    <w:rsid w:val="00DB6C31"/>
    <w:rsid w:val="00DE35FF"/>
    <w:rsid w:val="00DE4579"/>
    <w:rsid w:val="00DE6237"/>
    <w:rsid w:val="00DF1664"/>
    <w:rsid w:val="00DF2FB9"/>
    <w:rsid w:val="00DF3AD0"/>
    <w:rsid w:val="00DF41FC"/>
    <w:rsid w:val="00E27F5E"/>
    <w:rsid w:val="00E334EB"/>
    <w:rsid w:val="00E354C3"/>
    <w:rsid w:val="00E454CD"/>
    <w:rsid w:val="00E55234"/>
    <w:rsid w:val="00E608A6"/>
    <w:rsid w:val="00E60CBC"/>
    <w:rsid w:val="00E63DEF"/>
    <w:rsid w:val="00E64936"/>
    <w:rsid w:val="00E71BD3"/>
    <w:rsid w:val="00E75CF6"/>
    <w:rsid w:val="00E86189"/>
    <w:rsid w:val="00E928EF"/>
    <w:rsid w:val="00EA168C"/>
    <w:rsid w:val="00EA6689"/>
    <w:rsid w:val="00EA6DDF"/>
    <w:rsid w:val="00EA7AA0"/>
    <w:rsid w:val="00EB52DB"/>
    <w:rsid w:val="00EC53C8"/>
    <w:rsid w:val="00EC753F"/>
    <w:rsid w:val="00EE0542"/>
    <w:rsid w:val="00EE11A0"/>
    <w:rsid w:val="00EE237B"/>
    <w:rsid w:val="00EF3957"/>
    <w:rsid w:val="00F10024"/>
    <w:rsid w:val="00F10F21"/>
    <w:rsid w:val="00F10F70"/>
    <w:rsid w:val="00F13BAA"/>
    <w:rsid w:val="00F26226"/>
    <w:rsid w:val="00F269BB"/>
    <w:rsid w:val="00F271BF"/>
    <w:rsid w:val="00F431C9"/>
    <w:rsid w:val="00F463F2"/>
    <w:rsid w:val="00F474F9"/>
    <w:rsid w:val="00F47A40"/>
    <w:rsid w:val="00F50B8E"/>
    <w:rsid w:val="00F5447C"/>
    <w:rsid w:val="00F56CDF"/>
    <w:rsid w:val="00F60A12"/>
    <w:rsid w:val="00F66E0A"/>
    <w:rsid w:val="00F7009F"/>
    <w:rsid w:val="00F70FD9"/>
    <w:rsid w:val="00F74494"/>
    <w:rsid w:val="00F8068F"/>
    <w:rsid w:val="00F8186D"/>
    <w:rsid w:val="00F8204B"/>
    <w:rsid w:val="00F82282"/>
    <w:rsid w:val="00FB3901"/>
    <w:rsid w:val="00FB4B68"/>
    <w:rsid w:val="00FB6A51"/>
    <w:rsid w:val="00FC0813"/>
    <w:rsid w:val="00FC3532"/>
    <w:rsid w:val="00FC54E1"/>
    <w:rsid w:val="00FE2557"/>
    <w:rsid w:val="00FF506E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04E3B1"/>
  <w15:docId w15:val="{A465CC3F-A5D9-4589-9960-2E4B7FC8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DE6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eastAsia="en-US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b/>
      <w:bCs/>
      <w:kern w:val="28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b/>
      <w:bCs/>
      <w:caps/>
    </w:rPr>
  </w:style>
  <w:style w:type="paragraph" w:styleId="Heading3">
    <w:name w:val="heading 3"/>
    <w:basedOn w:val="Normal"/>
    <w:next w:val="Marge"/>
    <w:autoRedefine/>
    <w:qFormat/>
    <w:rsid w:val="005C7A36"/>
    <w:pPr>
      <w:keepNext/>
      <w:keepLines/>
      <w:spacing w:after="240"/>
      <w:outlineLvl w:val="2"/>
    </w:pPr>
    <w:rPr>
      <w:rFonts w:eastAsia="Arial Unicode MS"/>
      <w:b/>
      <w:bCs/>
      <w:szCs w:val="22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b/>
      <w:bCs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</w:rPr>
  </w:style>
  <w:style w:type="paragraph" w:styleId="Heading7">
    <w:name w:val="heading 7"/>
    <w:basedOn w:val="Normal"/>
    <w:next w:val="Normal"/>
    <w:qFormat/>
    <w:pPr>
      <w:keepNext/>
      <w:spacing w:line="360" w:lineRule="atLeast"/>
      <w:outlineLvl w:val="6"/>
    </w:pPr>
    <w:rPr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E0859"/>
    <w:pPr>
      <w:spacing w:before="240" w:after="60"/>
      <w:outlineLvl w:val="8"/>
    </w:pPr>
    <w:rPr>
      <w:rFonts w:eastAsia="SimSun" w:cs="Arial"/>
      <w:b/>
      <w:bCs/>
      <w:i/>
      <w:iCs/>
      <w:sz w:val="18"/>
      <w:szCs w:val="18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link w:val="MargeChar"/>
    <w:uiPriority w:val="99"/>
    <w:pPr>
      <w:ind w:firstLine="0"/>
    </w:pPr>
  </w:style>
  <w:style w:type="paragraph" w:customStyle="1" w:styleId="Par">
    <w:name w:val="Par"/>
    <w:basedOn w:val="Normal"/>
    <w:link w:val="ParChar"/>
    <w:pPr>
      <w:spacing w:after="240"/>
      <w:ind w:firstLine="567"/>
      <w:jc w:val="both"/>
    </w:pPr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snapToGrid/>
    </w:rPr>
  </w:style>
  <w:style w:type="character" w:styleId="FootnoteReference">
    <w:name w:val="footnote reference"/>
    <w:aliases w:val="16 Point,Superscript 6 Point,BVI fnr,nota pié di pagina,ftref,Footnote Refernece,Footnote Reference Number,Footnotes refss,Footnote Reference1, BVI fnr,FO,footnote ref,(NECG) Footnote Reference,Ref,de nota al pie,Footnote,note bp"/>
    <w:link w:val="CarattereCharCarattereCarattereCharCarattereCharCarattereCharCharCharCharChar"/>
    <w:qFormat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uiPriority w:val="99"/>
    <w:pPr>
      <w:ind w:left="567" w:hanging="567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Serre">
    <w:name w:val="Serre"/>
    <w:basedOn w:val="Normal"/>
    <w:pPr>
      <w:tabs>
        <w:tab w:val="clear" w:pos="567"/>
      </w:tabs>
      <w:suppressAutoHyphens/>
      <w:snapToGrid/>
      <w:jc w:val="both"/>
      <w:outlineLvl w:val="2"/>
    </w:pPr>
    <w:rPr>
      <w:snapToGrid/>
      <w:szCs w:val="20"/>
      <w:lang w:eastAsia="fr-FR"/>
    </w:rPr>
  </w:style>
  <w:style w:type="paragraph" w:customStyle="1" w:styleId="COI">
    <w:name w:val="COI"/>
    <w:basedOn w:val="Marge"/>
    <w:link w:val="COIChar"/>
    <w:autoRedefine/>
    <w:rsid w:val="0037249C"/>
    <w:pPr>
      <w:tabs>
        <w:tab w:val="clear" w:pos="567"/>
        <w:tab w:val="left" w:pos="709"/>
      </w:tabs>
    </w:pPr>
    <w:rPr>
      <w:rFonts w:eastAsia="Arial Unicode MS" w:cs="Arial"/>
      <w:szCs w:val="22"/>
      <w:u w:val="single"/>
    </w:rPr>
  </w:style>
  <w:style w:type="paragraph" w:styleId="BlockText">
    <w:name w:val="Block Text"/>
    <w:basedOn w:val="Normal"/>
    <w:pPr>
      <w:tabs>
        <w:tab w:val="clear" w:pos="567"/>
      </w:tabs>
      <w:snapToGrid/>
      <w:ind w:left="360" w:right="540"/>
      <w:jc w:val="both"/>
    </w:pPr>
    <w:rPr>
      <w:i/>
      <w:iCs/>
      <w:snapToGrid/>
    </w:rPr>
  </w:style>
  <w:style w:type="paragraph" w:styleId="BodyText2">
    <w:name w:val="Body Text 2"/>
    <w:basedOn w:val="Normal"/>
    <w:pPr>
      <w:tabs>
        <w:tab w:val="clear" w:pos="567"/>
      </w:tabs>
      <w:snapToGrid/>
      <w:spacing w:before="100" w:beforeAutospacing="1" w:after="100" w:afterAutospacing="1" w:line="360" w:lineRule="auto"/>
    </w:pPr>
    <w:rPr>
      <w:rFonts w:eastAsia="MS Mincho" w:cs="Arial"/>
      <w:snapToGrid/>
      <w:color w:val="FF0000"/>
      <w:lang w:eastAsia="ja-JP"/>
    </w:rPr>
  </w:style>
  <w:style w:type="paragraph" w:styleId="BodyTextIndent">
    <w:name w:val="Body Text Indent"/>
    <w:aliases w:val="Quotation"/>
    <w:basedOn w:val="Normal"/>
    <w:rsid w:val="008D2398"/>
    <w:pPr>
      <w:tabs>
        <w:tab w:val="clear" w:pos="567"/>
      </w:tabs>
      <w:snapToGrid/>
      <w:spacing w:before="120" w:after="100" w:afterAutospacing="1"/>
      <w:ind w:left="1134" w:right="1134"/>
      <w:jc w:val="both"/>
    </w:pPr>
    <w:rPr>
      <w:i/>
      <w:snapToGrid/>
    </w:rPr>
  </w:style>
  <w:style w:type="paragraph" w:customStyle="1" w:styleId="Docheading">
    <w:name w:val="Doc. heading"/>
    <w:basedOn w:val="Header"/>
    <w:rsid w:val="009C15B1"/>
    <w:pPr>
      <w:spacing w:after="480"/>
      <w:jc w:val="center"/>
    </w:pPr>
    <w:rPr>
      <w:rFonts w:cs="Arial"/>
      <w:b/>
      <w:bCs/>
      <w:caps/>
      <w:sz w:val="24"/>
    </w:rPr>
  </w:style>
  <w:style w:type="paragraph" w:styleId="BodyTextFirstIndent2">
    <w:name w:val="Body Text First Indent 2"/>
    <w:basedOn w:val="BodyTextIndent"/>
    <w:rsid w:val="008D2398"/>
    <w:pPr>
      <w:tabs>
        <w:tab w:val="left" w:pos="567"/>
      </w:tabs>
      <w:snapToGrid w:val="0"/>
      <w:spacing w:after="120"/>
      <w:ind w:left="283" w:firstLine="210"/>
      <w:jc w:val="left"/>
    </w:pPr>
    <w:rPr>
      <w:snapToGrid w:val="0"/>
    </w:rPr>
  </w:style>
  <w:style w:type="paragraph" w:customStyle="1" w:styleId="Listnumbered">
    <w:name w:val="List numbered"/>
    <w:basedOn w:val="ListBullet2"/>
    <w:autoRedefine/>
    <w:rsid w:val="00D013ED"/>
    <w:pPr>
      <w:numPr>
        <w:numId w:val="3"/>
      </w:numPr>
      <w:jc w:val="both"/>
    </w:pPr>
  </w:style>
  <w:style w:type="paragraph" w:customStyle="1" w:styleId="Style1">
    <w:name w:val="Style1"/>
    <w:basedOn w:val="Listnumbered"/>
    <w:autoRedefine/>
    <w:rsid w:val="006B4B95"/>
  </w:style>
  <w:style w:type="character" w:customStyle="1" w:styleId="ParChar">
    <w:name w:val="Par Char"/>
    <w:link w:val="Par"/>
    <w:rsid w:val="00690FD2"/>
    <w:rPr>
      <w:rFonts w:ascii="Arial" w:hAnsi="Arial"/>
      <w:snapToGrid w:val="0"/>
      <w:sz w:val="22"/>
      <w:szCs w:val="24"/>
      <w:lang w:val="ru-RU" w:eastAsia="en-US" w:bidi="ar-SA"/>
    </w:rPr>
  </w:style>
  <w:style w:type="paragraph" w:styleId="ListBullet2">
    <w:name w:val="List Bullet 2"/>
    <w:basedOn w:val="Normal"/>
    <w:rsid w:val="006B4B95"/>
    <w:pPr>
      <w:numPr>
        <w:numId w:val="4"/>
      </w:numPr>
      <w:spacing w:after="240"/>
    </w:pPr>
  </w:style>
  <w:style w:type="character" w:customStyle="1" w:styleId="MargeChar">
    <w:name w:val="Marge Char"/>
    <w:basedOn w:val="ParChar"/>
    <w:link w:val="Marge"/>
    <w:uiPriority w:val="99"/>
    <w:rsid w:val="00690FD2"/>
    <w:rPr>
      <w:rFonts w:ascii="Arial" w:hAnsi="Arial"/>
      <w:snapToGrid w:val="0"/>
      <w:sz w:val="22"/>
      <w:szCs w:val="24"/>
      <w:lang w:val="ru-RU" w:eastAsia="en-US" w:bidi="ar-SA"/>
    </w:rPr>
  </w:style>
  <w:style w:type="character" w:customStyle="1" w:styleId="COIChar">
    <w:name w:val="COI Char"/>
    <w:link w:val="COI"/>
    <w:rsid w:val="0037249C"/>
    <w:rPr>
      <w:rFonts w:ascii="Arial" w:eastAsia="Arial Unicode MS" w:hAnsi="Arial" w:cs="Arial"/>
      <w:snapToGrid w:val="0"/>
      <w:sz w:val="22"/>
      <w:szCs w:val="22"/>
      <w:u w:val="single"/>
      <w:lang w:val="ru-RU" w:eastAsia="en-US"/>
    </w:rPr>
  </w:style>
  <w:style w:type="character" w:customStyle="1" w:styleId="Heading9Char">
    <w:name w:val="Heading 9 Char"/>
    <w:link w:val="Heading9"/>
    <w:semiHidden/>
    <w:locked/>
    <w:rsid w:val="002E0859"/>
    <w:rPr>
      <w:rFonts w:ascii="Arial" w:eastAsia="SimSun" w:hAnsi="Arial" w:cs="Arial"/>
      <w:b/>
      <w:bCs/>
      <w:i/>
      <w:iCs/>
      <w:snapToGrid w:val="0"/>
      <w:sz w:val="18"/>
      <w:szCs w:val="18"/>
      <w:u w:val="single"/>
      <w:lang w:val="ru-RU" w:eastAsia="zh-CN" w:bidi="ar-SA"/>
    </w:rPr>
  </w:style>
  <w:style w:type="character" w:customStyle="1" w:styleId="Titre9Car1">
    <w:name w:val="Titre 9 Car1"/>
    <w:semiHidden/>
    <w:rsid w:val="002E0859"/>
    <w:rPr>
      <w:rFonts w:ascii="Cambria" w:eastAsia="Times New Roman" w:hAnsi="Cambria" w:cs="Times New Roman"/>
      <w:snapToGrid w:val="0"/>
      <w:sz w:val="22"/>
      <w:szCs w:val="22"/>
      <w:lang w:val="ru-RU" w:eastAsia="en-US"/>
    </w:rPr>
  </w:style>
  <w:style w:type="character" w:styleId="Hyperlink">
    <w:name w:val="Hyperlink"/>
    <w:basedOn w:val="DefaultParagraphFont"/>
    <w:rsid w:val="00C2635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06C60"/>
    <w:pPr>
      <w:tabs>
        <w:tab w:val="clear" w:pos="567"/>
      </w:tabs>
      <w:snapToGrid/>
      <w:spacing w:before="100" w:beforeAutospacing="1" w:after="100" w:afterAutospacing="1"/>
    </w:pPr>
    <w:rPr>
      <w:rFonts w:ascii="Times New Roman" w:hAnsi="Times New Roman"/>
      <w:snapToGrid/>
      <w:sz w:val="24"/>
      <w:lang w:eastAsia="fr-FR"/>
    </w:rPr>
  </w:style>
  <w:style w:type="character" w:styleId="Emphasis">
    <w:name w:val="Emphasis"/>
    <w:basedOn w:val="DefaultParagraphFont"/>
    <w:uiPriority w:val="20"/>
    <w:qFormat/>
    <w:rsid w:val="00D95CAD"/>
    <w:rPr>
      <w:i/>
      <w:iCs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2FC0"/>
    <w:rPr>
      <w:rFonts w:ascii="Arial" w:hAnsi="Arial"/>
      <w:snapToGrid w:val="0"/>
      <w:lang w:val="ru-RU" w:eastAsia="en-US"/>
    </w:rPr>
  </w:style>
  <w:style w:type="paragraph" w:styleId="CommentText">
    <w:name w:val="annotation text"/>
    <w:basedOn w:val="Normal"/>
    <w:link w:val="CommentTextChar"/>
    <w:rsid w:val="009F2F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2FC0"/>
    <w:rPr>
      <w:rFonts w:ascii="Arial" w:hAnsi="Arial"/>
      <w:snapToGrid w:val="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F2FC0"/>
    <w:pPr>
      <w:tabs>
        <w:tab w:val="clear" w:pos="567"/>
        <w:tab w:val="left" w:pos="709"/>
      </w:tabs>
    </w:pPr>
    <w:rPr>
      <w:rFonts w:ascii="Times New Roman" w:eastAsia="SimSun" w:hAnsi="Times New Roman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F2FC0"/>
    <w:rPr>
      <w:rFonts w:ascii="Arial" w:eastAsia="SimSun" w:hAnsi="Arial"/>
      <w:b/>
      <w:bCs/>
      <w:snapToGrid w:val="0"/>
      <w:lang w:val="ru-RU" w:eastAsia="zh-CN"/>
    </w:rPr>
  </w:style>
  <w:style w:type="paragraph" w:styleId="BalloonText">
    <w:name w:val="Balloon Text"/>
    <w:basedOn w:val="Normal"/>
    <w:link w:val="BalloonTextChar"/>
    <w:rsid w:val="00E75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5CF6"/>
    <w:rPr>
      <w:rFonts w:ascii="Tahoma" w:hAnsi="Tahoma" w:cs="Tahoma"/>
      <w:snapToGrid w:val="0"/>
      <w:sz w:val="16"/>
      <w:szCs w:val="16"/>
      <w:lang w:val="ru-RU" w:eastAsia="en-US"/>
    </w:rPr>
  </w:style>
  <w:style w:type="paragraph" w:styleId="ListParagraph">
    <w:name w:val="List Paragraph"/>
    <w:aliases w:val="ADB List Paragraph,Dot pt,List Paragraph Char Char Char,Indicator Text,List Paragraph1,Numbered Para 1,List Paragraph12,Bullet Points,MAIN CONTENT,Bullet 1,Colorful List - Accent 11,Light Grid - Accent 31,References,Indent Paragraph,stil3"/>
    <w:basedOn w:val="Normal"/>
    <w:link w:val="ListParagraphChar"/>
    <w:uiPriority w:val="34"/>
    <w:qFormat/>
    <w:rsid w:val="00BE35BA"/>
    <w:pPr>
      <w:tabs>
        <w:tab w:val="clear" w:pos="567"/>
        <w:tab w:val="left" w:pos="709"/>
      </w:tabs>
      <w:snapToGrid/>
      <w:ind w:left="720"/>
      <w:contextualSpacing/>
      <w:jc w:val="both"/>
    </w:pPr>
    <w:rPr>
      <w:rFonts w:ascii="Times New Roman" w:hAnsi="Times New Roman"/>
      <w:snapToGrid/>
      <w:sz w:val="24"/>
      <w:szCs w:val="20"/>
    </w:rPr>
  </w:style>
  <w:style w:type="character" w:styleId="FollowedHyperlink">
    <w:name w:val="FollowedHyperlink"/>
    <w:basedOn w:val="DefaultParagraphFont"/>
    <w:semiHidden/>
    <w:unhideWhenUsed/>
    <w:rsid w:val="0089563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6E1454"/>
    <w:rPr>
      <w:sz w:val="16"/>
      <w:szCs w:val="16"/>
    </w:rPr>
  </w:style>
  <w:style w:type="paragraph" w:styleId="Revision">
    <w:name w:val="Revision"/>
    <w:hidden/>
    <w:uiPriority w:val="99"/>
    <w:semiHidden/>
    <w:rsid w:val="006E1454"/>
    <w:rPr>
      <w:rFonts w:ascii="Arial" w:hAnsi="Arial"/>
      <w:snapToGrid w:val="0"/>
      <w:sz w:val="22"/>
      <w:szCs w:val="24"/>
      <w:lang w:eastAsia="en-US"/>
    </w:rPr>
  </w:style>
  <w:style w:type="paragraph" w:customStyle="1" w:styleId="CarattereCharCarattereCarattereCharCarattereCharCarattereCharCharCharCharChar">
    <w:name w:val="Carattere Char Carattere Carattere Char Carattere Char Carattere Char Char Char Char Char"/>
    <w:aliases w:val="Footnote Reference Char Char Char Char Char Char Char Char Char Char Char Char Char Char Char Char Char,footnote number Char Char"/>
    <w:basedOn w:val="Normal"/>
    <w:link w:val="FootnoteReference"/>
    <w:rsid w:val="00C008B0"/>
    <w:pPr>
      <w:tabs>
        <w:tab w:val="clear" w:pos="567"/>
      </w:tabs>
      <w:snapToGrid/>
      <w:spacing w:before="120" w:after="160" w:line="240" w:lineRule="exact"/>
    </w:pPr>
    <w:rPr>
      <w:rFonts w:ascii="Times New Roman" w:hAnsi="Times New Roman"/>
      <w:snapToGrid/>
      <w:sz w:val="20"/>
      <w:szCs w:val="20"/>
      <w:vertAlign w:val="superscript"/>
      <w:lang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2324"/>
    <w:rPr>
      <w:color w:val="605E5C"/>
      <w:shd w:val="clear" w:color="auto" w:fill="E1DFDD"/>
    </w:rPr>
  </w:style>
  <w:style w:type="paragraph" w:customStyle="1" w:styleId="EX4subtitles">
    <w:name w:val="EX4 sub titles"/>
    <w:basedOn w:val="Normal"/>
    <w:link w:val="EX4subtitlesChar"/>
    <w:qFormat/>
    <w:rsid w:val="002E2D68"/>
    <w:pPr>
      <w:tabs>
        <w:tab w:val="clear" w:pos="567"/>
      </w:tabs>
      <w:autoSpaceDE w:val="0"/>
      <w:autoSpaceDN w:val="0"/>
      <w:adjustRightInd w:val="0"/>
      <w:snapToGrid/>
      <w:spacing w:before="240" w:after="160" w:line="276" w:lineRule="auto"/>
    </w:pPr>
    <w:rPr>
      <w:rFonts w:asciiTheme="minorBidi" w:eastAsiaTheme="minorEastAsia" w:hAnsiTheme="minorBidi" w:cstheme="minorBidi"/>
      <w:b/>
      <w:bCs/>
      <w:snapToGrid/>
      <w:color w:val="000000"/>
      <w:szCs w:val="22"/>
      <w:lang w:eastAsia="zh-CN"/>
    </w:rPr>
  </w:style>
  <w:style w:type="character" w:customStyle="1" w:styleId="EX4subtitlesChar">
    <w:name w:val="EX4 sub titles Char"/>
    <w:basedOn w:val="DefaultParagraphFont"/>
    <w:link w:val="EX4subtitles"/>
    <w:rsid w:val="002E2D68"/>
    <w:rPr>
      <w:rFonts w:asciiTheme="minorBidi" w:eastAsiaTheme="minorEastAsia" w:hAnsiTheme="minorBidi" w:cstheme="minorBidi"/>
      <w:b/>
      <w:bCs/>
      <w:color w:val="000000"/>
      <w:sz w:val="22"/>
      <w:szCs w:val="22"/>
      <w:lang w:val="ru-RU" w:eastAsia="zh-CN"/>
    </w:rPr>
  </w:style>
  <w:style w:type="paragraph" w:customStyle="1" w:styleId="EX4texte">
    <w:name w:val="EX4 texte"/>
    <w:basedOn w:val="Normal"/>
    <w:link w:val="EX4texteChar"/>
    <w:autoRedefine/>
    <w:qFormat/>
    <w:rsid w:val="00AA2CD5"/>
    <w:pPr>
      <w:numPr>
        <w:numId w:val="29"/>
      </w:numPr>
      <w:tabs>
        <w:tab w:val="clear" w:pos="567"/>
        <w:tab w:val="left" w:pos="854"/>
      </w:tabs>
      <w:spacing w:after="240"/>
      <w:ind w:left="0" w:firstLine="0"/>
      <w:jc w:val="both"/>
    </w:pPr>
    <w:rPr>
      <w:rFonts w:asciiTheme="minorBidi" w:eastAsia="SimSun" w:hAnsiTheme="minorBidi" w:cstheme="minorBidi"/>
      <w:shd w:val="clear" w:color="auto" w:fill="FFFFFF"/>
      <w:lang w:eastAsia="zh-CN"/>
    </w:rPr>
  </w:style>
  <w:style w:type="character" w:customStyle="1" w:styleId="EX4texteChar">
    <w:name w:val="EX4 texte Char"/>
    <w:basedOn w:val="DefaultParagraphFont"/>
    <w:link w:val="EX4texte"/>
    <w:rsid w:val="00AA2CD5"/>
    <w:rPr>
      <w:rFonts w:asciiTheme="minorBidi" w:eastAsia="SimSun" w:hAnsiTheme="minorBidi" w:cstheme="minorBidi"/>
      <w:snapToGrid w:val="0"/>
      <w:sz w:val="22"/>
      <w:szCs w:val="24"/>
      <w:lang w:val="ru-RU" w:eastAsia="zh-CN"/>
    </w:rPr>
  </w:style>
  <w:style w:type="character" w:customStyle="1" w:styleId="ListParagraphChar">
    <w:name w:val="List Paragraph Char"/>
    <w:aliases w:val="ADB List Paragraph Char,Dot pt Char,List Paragraph Char Char Char Char,Indicator Text Char,List Paragraph1 Char,Numbered Para 1 Char,List Paragraph12 Char,Bullet Points Char,MAIN CONTENT Char,Bullet 1 Char,Light Grid - Accent 31 Char"/>
    <w:basedOn w:val="DefaultParagraphFont"/>
    <w:link w:val="ListParagraph"/>
    <w:uiPriority w:val="34"/>
    <w:qFormat/>
    <w:locked/>
    <w:rsid w:val="00741CAA"/>
    <w:rPr>
      <w:sz w:val="24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3A8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E0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9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75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83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B6B6B6"/>
                                                <w:left w:val="single" w:sz="6" w:space="4" w:color="B6B6B6"/>
                                                <w:bottom w:val="single" w:sz="6" w:space="4" w:color="B6B6B6"/>
                                                <w:right w:val="single" w:sz="6" w:space="4" w:color="B6B6B6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esdoc.unesco.org/ark:/48223/pf0000124367.locale=fr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unesdoc.unesco.org/ark:/48223/pf0000260721.locale=en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unesdoc.unesco.org/ark:/48223/pf0000390082.locale=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nesdoc.unesco.org/ark:/48223/pf0000390054.locale=en" TargetMode="External"/><Relationship Id="rId20" Type="http://schemas.openxmlformats.org/officeDocument/2006/relationships/hyperlink" Target="https://www.mspglobal2030.org/f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ceanexpert.org/document/3627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ceanexpert.org/document/1730" TargetMode="External"/><Relationship Id="rId23" Type="http://schemas.openxmlformats.org/officeDocument/2006/relationships/header" Target="header6.xml"/><Relationship Id="rId10" Type="http://schemas.openxmlformats.org/officeDocument/2006/relationships/hyperlink" Target="https://www.oceanexpert.org/document/36076" TargetMode="External"/><Relationship Id="rId19" Type="http://schemas.openxmlformats.org/officeDocument/2006/relationships/hyperlink" Target="https://unesdoc.unesco.org/ark:/48223/pf0000381488.locale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esdoc.unesco.org/ark:/48223/pf0000125186.locale=fr" TargetMode="External"/><Relationship Id="rId14" Type="http://schemas.openxmlformats.org/officeDocument/2006/relationships/header" Target="header3.xml"/><Relationship Id="rId22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_boned\AppData\Local\Microsoft\Windows\Temporary%20Internet%20Files\Content.Outlook\U6GEGBZT\Template%20WD-IOC2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D18B0-5666-440B-8D2F-95A639E105B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 WD-IOC27.dotx</Template>
  <TotalTime>174</TotalTime>
  <Pages>8</Pages>
  <Words>2940</Words>
  <Characters>21038</Characters>
  <Application>Microsoft Office Word</Application>
  <DocSecurity>0</DocSecurity>
  <Lines>312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The Road to the UN Year</vt:lpstr>
      <vt:lpstr>The Road to the UN Year</vt:lpstr>
    </vt:vector>
  </TitlesOfParts>
  <Company>UNESCO</Company>
  <LinksUpToDate>false</LinksUpToDate>
  <CharactersWithSpaces>23948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 деятельности МОК в 2024-2025 гг., подлежащий_x000d_
представлению на 43-й сессии Генеральной конференции ЮНЕСКО_x000d_
</dc:title>
  <dc:subject>IOC/A-33/3.5(1)</dc:subject>
  <dc:creator>Boned, Patrice</dc:creator>
  <dc:description/>
  <cp:lastModifiedBy>Chakhvorostova, Valentina</cp:lastModifiedBy>
  <cp:revision>10</cp:revision>
  <cp:lastPrinted>2025-04-16T20:08:00Z</cp:lastPrinted>
  <dcterms:created xsi:type="dcterms:W3CDTF">2025-05-06T08:44:00Z</dcterms:created>
  <dcterms:modified xsi:type="dcterms:W3CDTF">2025-05-06T13:32:00Z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R</vt:lpwstr>
  </property>
  <property fmtid="{D5CDD505-2E9C-101B-9397-08002B2CF9AE}" pid="3" name="JobNumber">
    <vt:lpwstr>2500415R</vt:lpwstr>
  </property>
  <property fmtid="{D5CDD505-2E9C-101B-9397-08002B2CF9AE}" pid="4" name="ForceJobNumber">
    <vt:bool>false</vt:bool>
  </property>
</Properties>
</file>