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08CD" w14:textId="77777777" w:rsidR="005D0ECA" w:rsidRDefault="001312C4" w:rsidP="005D0ECA">
      <w:pPr>
        <w:tabs>
          <w:tab w:val="left" w:pos="709"/>
        </w:tabs>
        <w:snapToGrid w:val="0"/>
        <w:spacing w:after="240" w:line="240" w:lineRule="auto"/>
        <w:jc w:val="center"/>
        <w:rPr>
          <w:rFonts w:ascii="Arial" w:hAnsi="Arial" w:cs="Arial"/>
          <w:b/>
          <w:bCs/>
          <w:snapToGrid w:val="0"/>
          <w:lang w:val="en-US"/>
        </w:rPr>
      </w:pPr>
      <w:r w:rsidRPr="004D34FB">
        <w:rPr>
          <w:rFonts w:ascii="Arial" w:hAnsi="Arial" w:cs="Arial"/>
          <w:b/>
          <w:bCs/>
          <w:snapToGrid w:val="0"/>
        </w:rPr>
        <w:t>Резюме для руководящих органов</w:t>
      </w:r>
    </w:p>
    <w:p w14:paraId="20F728BC" w14:textId="11A285F2" w:rsidR="00A40455" w:rsidRPr="004D34FB" w:rsidRDefault="00A40455" w:rsidP="005D0ECA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Восемнадцатое совещание Рабочей группы по системам предупреждения и смягчения последствий цунами и других опасных явлений, связанных с изменением уровня моря (РГ</w:t>
      </w:r>
      <w:r w:rsidR="004E4195" w:rsidRPr="004E4195">
        <w:rPr>
          <w:rFonts w:ascii="Arial" w:hAnsi="Arial" w:cs="Arial"/>
          <w:snapToGrid w:val="0"/>
        </w:rPr>
        <w:noBreakHyphen/>
      </w:r>
      <w:r w:rsidRPr="004D34FB">
        <w:rPr>
          <w:rFonts w:ascii="Arial" w:hAnsi="Arial" w:cs="Arial"/>
          <w:snapToGrid w:val="0"/>
        </w:rPr>
        <w:t xml:space="preserve">СПЦО-XVIII), </w:t>
      </w:r>
      <w:r w:rsidR="00A27C1F">
        <w:rPr>
          <w:rFonts w:ascii="Arial" w:hAnsi="Arial" w:cs="Arial"/>
          <w:snapToGrid w:val="0"/>
        </w:rPr>
        <w:t>состоялось</w:t>
      </w:r>
      <w:r w:rsidRPr="004D34FB">
        <w:rPr>
          <w:rFonts w:ascii="Arial" w:hAnsi="Arial" w:cs="Arial"/>
          <w:snapToGrid w:val="0"/>
        </w:rPr>
        <w:t xml:space="preserve"> 24-25 февраля 2025 г. в смешанном формате (с очным и дистанционным участием членов группы) под председательством г-на Амра Закарии </w:t>
      </w:r>
      <w:proofErr w:type="spellStart"/>
      <w:r w:rsidRPr="004D34FB">
        <w:rPr>
          <w:rFonts w:ascii="Arial" w:hAnsi="Arial" w:cs="Arial"/>
          <w:snapToGrid w:val="0"/>
        </w:rPr>
        <w:t>Хамуды</w:t>
      </w:r>
      <w:proofErr w:type="spellEnd"/>
      <w:r w:rsidRPr="004D34FB">
        <w:rPr>
          <w:rFonts w:ascii="Arial" w:hAnsi="Arial" w:cs="Arial"/>
          <w:snapToGrid w:val="0"/>
        </w:rPr>
        <w:t xml:space="preserve"> (заместитель Председателя МОК). Участники совещания проанализировали </w:t>
      </w:r>
      <w:r w:rsidR="00A27C1F">
        <w:rPr>
          <w:rFonts w:ascii="Arial" w:hAnsi="Arial" w:cs="Arial"/>
          <w:snapToGrid w:val="0"/>
        </w:rPr>
        <w:t>ход</w:t>
      </w:r>
      <w:r w:rsidRPr="004D34FB">
        <w:rPr>
          <w:rFonts w:ascii="Arial" w:hAnsi="Arial" w:cs="Arial"/>
          <w:snapToGrid w:val="0"/>
        </w:rPr>
        <w:t xml:space="preserve"> выполнени</w:t>
      </w:r>
      <w:r w:rsidR="00A27C1F">
        <w:rPr>
          <w:rFonts w:ascii="Arial" w:hAnsi="Arial" w:cs="Arial"/>
          <w:snapToGrid w:val="0"/>
        </w:rPr>
        <w:t>я</w:t>
      </w:r>
      <w:r w:rsidRPr="004D34FB">
        <w:rPr>
          <w:rFonts w:ascii="Arial" w:hAnsi="Arial" w:cs="Arial"/>
          <w:snapToGrid w:val="0"/>
        </w:rPr>
        <w:t xml:space="preserve"> решения A-32/4.3.1 Ассамблеи МОК и решения EC-57/3.2.1 Исполнительного совета МОК.</w:t>
      </w:r>
    </w:p>
    <w:p w14:paraId="44E2819F" w14:textId="3BFC80F1" w:rsidR="00A40455" w:rsidRPr="004D34FB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bookmarkStart w:id="0" w:name="_gjdgxs"/>
      <w:bookmarkStart w:id="1" w:name="_xcs51xxmizzy"/>
      <w:bookmarkStart w:id="2" w:name="_xgf2prjzfqfr"/>
      <w:bookmarkEnd w:id="0"/>
      <w:bookmarkEnd w:id="1"/>
      <w:bookmarkEnd w:id="2"/>
      <w:r w:rsidRPr="004D34FB">
        <w:rPr>
          <w:rFonts w:ascii="Arial" w:hAnsi="Arial" w:cs="Arial"/>
          <w:b/>
          <w:snapToGrid w:val="0"/>
        </w:rPr>
        <w:t>Группа рассмотрела</w:t>
      </w:r>
      <w:r w:rsidRPr="004D34FB">
        <w:rPr>
          <w:rFonts w:ascii="Arial" w:hAnsi="Arial" w:cs="Arial"/>
          <w:snapToGrid w:val="0"/>
        </w:rPr>
        <w:t xml:space="preserve"> доклады межправительственных координационных групп (МКГ) МОК, научного комитета Программы по цунами в рамках Десятилетия, посвященного науке об океане (ПЦДО), целевой группы по ликвидации последствий стихийных бедствий и обеспечению готовности к ним (ЦГ-ЛПГ) и целевой группы по наблюдениям за цунами (ЦГ-НЦ).</w:t>
      </w:r>
    </w:p>
    <w:p w14:paraId="40939BFC" w14:textId="77777777" w:rsidR="00A40455" w:rsidRPr="004D34FB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с удовлетворением приняла к сведению</w:t>
      </w:r>
      <w:r w:rsidRPr="004D34FB">
        <w:rPr>
          <w:rFonts w:ascii="Arial" w:hAnsi="Arial" w:cs="Arial"/>
          <w:snapToGrid w:val="0"/>
        </w:rPr>
        <w:t xml:space="preserve"> результаты работы в межсессионный период, в числе которых:</w:t>
      </w:r>
    </w:p>
    <w:p w14:paraId="79D3E99C" w14:textId="05BDFB66" w:rsidR="00A40455" w:rsidRPr="004D34FB" w:rsidRDefault="00A40455" w:rsidP="004E4195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Координация проведения учений по проверке готовности к цунами «Тихоокеанская волна-24» (сентябрь-ноябрь 2024 г.), «Карибская волна-24» (21 марта 2024 г.), «СВАСМ/Волна-23» (6-7 ноября 2023 г.) и «Индийская волна-23» (4-25 октября 2023</w:t>
      </w:r>
      <w:r w:rsidR="00197AC3">
        <w:rPr>
          <w:rFonts w:ascii="Arial" w:hAnsi="Arial" w:cs="Arial"/>
          <w:snapToGrid w:val="0"/>
          <w:lang w:val="fr-FR"/>
        </w:rPr>
        <w:t> </w:t>
      </w:r>
      <w:r w:rsidRPr="004D34FB">
        <w:rPr>
          <w:rFonts w:ascii="Arial" w:hAnsi="Arial" w:cs="Arial"/>
          <w:snapToGrid w:val="0"/>
        </w:rPr>
        <w:t>г.);</w:t>
      </w:r>
    </w:p>
    <w:p w14:paraId="22F52553" w14:textId="77777777" w:rsidR="00A40455" w:rsidRPr="004D34FB" w:rsidRDefault="00A40455" w:rsidP="004E4195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Последовательные усилия ЦГ-НЦ по разработке адаптированных бюллетеней ПДСЦ для морского сообщества в консультации с подкомитетом Международной гидрографической организации (МГО) по всемирной службе навигационных предупреждений (</w:t>
      </w:r>
      <w:proofErr w:type="spellStart"/>
      <w:r w:rsidRPr="004D34FB">
        <w:rPr>
          <w:rFonts w:ascii="Arial" w:hAnsi="Arial" w:cs="Arial"/>
          <w:snapToGrid w:val="0"/>
        </w:rPr>
        <w:t>Пк</w:t>
      </w:r>
      <w:proofErr w:type="spellEnd"/>
      <w:r w:rsidRPr="004D34FB">
        <w:rPr>
          <w:rFonts w:ascii="Arial" w:hAnsi="Arial" w:cs="Arial"/>
          <w:snapToGrid w:val="0"/>
        </w:rPr>
        <w:t>-ВСНП);</w:t>
      </w:r>
    </w:p>
    <w:p w14:paraId="2729D05A" w14:textId="77777777" w:rsidR="005B21D5" w:rsidRPr="004D34FB" w:rsidRDefault="00A40455" w:rsidP="004E4195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 xml:space="preserve">Текущий проект прокладки подводного кабеля у берегов Португалии (проект CAM SMART), проект TAM </w:t>
      </w:r>
      <w:proofErr w:type="spellStart"/>
      <w:r w:rsidRPr="004D34FB">
        <w:rPr>
          <w:rFonts w:ascii="Arial" w:hAnsi="Arial" w:cs="Arial"/>
          <w:snapToGrid w:val="0"/>
        </w:rPr>
        <w:t>TAM</w:t>
      </w:r>
      <w:proofErr w:type="spellEnd"/>
      <w:r w:rsidRPr="004D34FB">
        <w:rPr>
          <w:rFonts w:ascii="Arial" w:hAnsi="Arial" w:cs="Arial"/>
          <w:snapToGrid w:val="0"/>
        </w:rPr>
        <w:t xml:space="preserve"> SMART по прокладке подводного кабеля между Новой Каледонией и Вануату, подводные кабельные сети, спроектированные и развертываемые Индонезией и Индией, и прокладка в 2023 г. интеллектуального кабеля в западной части Ионического моря;</w:t>
      </w:r>
    </w:p>
    <w:p w14:paraId="2726521F" w14:textId="77777777" w:rsidR="005B21D5" w:rsidRPr="004D34FB" w:rsidRDefault="00A40455" w:rsidP="004E4195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Общее число государств-членов и территориальных сообществ, участвующих в Программе ЮНЕСКО/МОК по сертификации готовности к цунами: 100 прибрежных населенных пунктов в 31 государстве-члене, включая 15 МОСРГ;</w:t>
      </w:r>
    </w:p>
    <w:p w14:paraId="0FB54CAD" w14:textId="21314420" w:rsidR="00A40455" w:rsidRPr="004D34FB" w:rsidRDefault="00F3061B" w:rsidP="004E4195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bookmarkStart w:id="3" w:name="_Hlk191327666"/>
      <w:r w:rsidRPr="004D34FB">
        <w:rPr>
          <w:rFonts w:ascii="Arial" w:hAnsi="Arial" w:cs="Arial"/>
          <w:snapToGrid w:val="0"/>
        </w:rPr>
        <w:t xml:space="preserve">Публикация докладов </w:t>
      </w:r>
      <w:r w:rsidRPr="004D34FB">
        <w:rPr>
          <w:rFonts w:ascii="Arial" w:hAnsi="Arial" w:cs="Arial"/>
          <w:i/>
          <w:iCs/>
          <w:snapToGrid w:val="0"/>
        </w:rPr>
        <w:t xml:space="preserve">Monitoring </w:t>
      </w:r>
      <w:proofErr w:type="spellStart"/>
      <w:r w:rsidRPr="004D34FB">
        <w:rPr>
          <w:rFonts w:ascii="Arial" w:hAnsi="Arial" w:cs="Arial"/>
          <w:i/>
          <w:iCs/>
          <w:snapToGrid w:val="0"/>
        </w:rPr>
        <w:t>and</w:t>
      </w:r>
      <w:proofErr w:type="spellEnd"/>
      <w:r w:rsidRPr="004D34FB">
        <w:rPr>
          <w:rFonts w:ascii="Arial" w:hAnsi="Arial" w:cs="Arial"/>
          <w:i/>
          <w:iCs/>
          <w:snapToGrid w:val="0"/>
        </w:rPr>
        <w:t xml:space="preserve"> </w:t>
      </w:r>
      <w:proofErr w:type="spellStart"/>
      <w:r w:rsidRPr="004D34FB">
        <w:rPr>
          <w:rFonts w:ascii="Arial" w:hAnsi="Arial" w:cs="Arial"/>
          <w:i/>
          <w:iCs/>
          <w:snapToGrid w:val="0"/>
        </w:rPr>
        <w:t>Warning</w:t>
      </w:r>
      <w:proofErr w:type="spellEnd"/>
      <w:r w:rsidRPr="004D34FB">
        <w:rPr>
          <w:rFonts w:ascii="Arial" w:hAnsi="Arial" w:cs="Arial"/>
          <w:i/>
          <w:iCs/>
          <w:snapToGrid w:val="0"/>
        </w:rPr>
        <w:t xml:space="preserve"> </w:t>
      </w:r>
      <w:proofErr w:type="spellStart"/>
      <w:r w:rsidRPr="004D34FB">
        <w:rPr>
          <w:rFonts w:ascii="Arial" w:hAnsi="Arial" w:cs="Arial"/>
          <w:i/>
          <w:iCs/>
          <w:snapToGrid w:val="0"/>
        </w:rPr>
        <w:t>for</w:t>
      </w:r>
      <w:proofErr w:type="spellEnd"/>
      <w:r w:rsidRPr="004D34FB">
        <w:rPr>
          <w:rFonts w:ascii="Arial" w:hAnsi="Arial" w:cs="Arial"/>
          <w:i/>
          <w:iCs/>
          <w:snapToGrid w:val="0"/>
        </w:rPr>
        <w:t xml:space="preserve"> </w:t>
      </w:r>
      <w:proofErr w:type="spellStart"/>
      <w:r w:rsidRPr="004D34FB">
        <w:rPr>
          <w:rFonts w:ascii="Arial" w:hAnsi="Arial" w:cs="Arial"/>
          <w:i/>
          <w:iCs/>
          <w:snapToGrid w:val="0"/>
        </w:rPr>
        <w:t>Tsunamis</w:t>
      </w:r>
      <w:proofErr w:type="spellEnd"/>
      <w:r w:rsidRPr="004D34FB">
        <w:rPr>
          <w:rFonts w:ascii="Arial" w:hAnsi="Arial" w:cs="Arial"/>
          <w:i/>
          <w:iCs/>
          <w:snapToGrid w:val="0"/>
        </w:rPr>
        <w:t xml:space="preserve"> </w:t>
      </w:r>
      <w:proofErr w:type="spellStart"/>
      <w:r w:rsidRPr="004D34FB">
        <w:rPr>
          <w:rFonts w:ascii="Arial" w:hAnsi="Arial" w:cs="Arial"/>
          <w:i/>
          <w:iCs/>
          <w:snapToGrid w:val="0"/>
        </w:rPr>
        <w:t>Generated</w:t>
      </w:r>
      <w:proofErr w:type="spellEnd"/>
      <w:r w:rsidRPr="004D34FB">
        <w:rPr>
          <w:rFonts w:ascii="Arial" w:hAnsi="Arial" w:cs="Arial"/>
          <w:i/>
          <w:iCs/>
          <w:snapToGrid w:val="0"/>
        </w:rPr>
        <w:t xml:space="preserve"> </w:t>
      </w:r>
      <w:proofErr w:type="spellStart"/>
      <w:r w:rsidRPr="004D34FB">
        <w:rPr>
          <w:rFonts w:ascii="Arial" w:hAnsi="Arial" w:cs="Arial"/>
          <w:i/>
          <w:iCs/>
          <w:snapToGrid w:val="0"/>
        </w:rPr>
        <w:t>by</w:t>
      </w:r>
      <w:proofErr w:type="spellEnd"/>
      <w:r w:rsidRPr="004D34FB">
        <w:rPr>
          <w:rFonts w:ascii="Arial" w:hAnsi="Arial" w:cs="Arial"/>
          <w:i/>
          <w:iCs/>
          <w:snapToGrid w:val="0"/>
        </w:rPr>
        <w:t xml:space="preserve"> </w:t>
      </w:r>
      <w:proofErr w:type="spellStart"/>
      <w:r w:rsidRPr="004D34FB">
        <w:rPr>
          <w:rFonts w:ascii="Arial" w:hAnsi="Arial" w:cs="Arial"/>
          <w:i/>
          <w:iCs/>
          <w:snapToGrid w:val="0"/>
        </w:rPr>
        <w:t>Volcanoes</w:t>
      </w:r>
      <w:proofErr w:type="spellEnd"/>
      <w:r w:rsidRPr="004D34FB">
        <w:rPr>
          <w:rFonts w:ascii="Arial" w:hAnsi="Arial" w:cs="Arial"/>
          <w:snapToGrid w:val="0"/>
        </w:rPr>
        <w:t xml:space="preserve"> («Мониторинг и предупреждение в отношении цунами вулканического происхождения»). 2024. Париж, ЮНЕСКО. </w:t>
      </w:r>
      <w:r w:rsidRPr="004D34FB">
        <w:rPr>
          <w:rFonts w:ascii="Arial" w:hAnsi="Arial" w:cs="Arial"/>
        </w:rPr>
        <w:t>(</w:t>
      </w:r>
      <w:hyperlink r:id="rId8" w:history="1">
        <w:r w:rsidRPr="004D34FB">
          <w:rPr>
            <w:rFonts w:ascii="Arial" w:hAnsi="Arial" w:cs="Arial"/>
            <w:snapToGrid w:val="0"/>
            <w:color w:val="0000FF"/>
            <w:u w:val="single"/>
          </w:rPr>
          <w:t xml:space="preserve">Серия технических докладов МОК, </w:t>
        </w:r>
        <w:proofErr w:type="spellStart"/>
        <w:r w:rsidRPr="004D34FB">
          <w:rPr>
            <w:rFonts w:ascii="Arial" w:hAnsi="Arial" w:cs="Arial"/>
            <w:snapToGrid w:val="0"/>
            <w:color w:val="0000FF"/>
            <w:u w:val="single"/>
          </w:rPr>
          <w:t>вып</w:t>
        </w:r>
        <w:proofErr w:type="spellEnd"/>
        <w:r w:rsidRPr="004D34FB">
          <w:rPr>
            <w:rFonts w:ascii="Arial" w:hAnsi="Arial" w:cs="Arial"/>
            <w:snapToGrid w:val="0"/>
            <w:color w:val="0000FF"/>
            <w:u w:val="single"/>
          </w:rPr>
          <w:t>. № 183</w:t>
        </w:r>
      </w:hyperlink>
      <w:r w:rsidRPr="004D34FB">
        <w:rPr>
          <w:rFonts w:ascii="Arial" w:hAnsi="Arial" w:cs="Arial"/>
        </w:rPr>
        <w:t xml:space="preserve">) и </w:t>
      </w:r>
      <w:proofErr w:type="spellStart"/>
      <w:r w:rsidRPr="004D34FB">
        <w:rPr>
          <w:rFonts w:ascii="Arial" w:hAnsi="Arial" w:cs="Arial"/>
          <w:i/>
          <w:iCs/>
        </w:rPr>
        <w:t>Meteotsunamis</w:t>
      </w:r>
      <w:proofErr w:type="spellEnd"/>
      <w:r w:rsidRPr="004D34FB">
        <w:rPr>
          <w:rFonts w:ascii="Arial" w:hAnsi="Arial" w:cs="Arial"/>
          <w:i/>
          <w:iCs/>
        </w:rPr>
        <w:t xml:space="preserve">: </w:t>
      </w:r>
      <w:proofErr w:type="spellStart"/>
      <w:r w:rsidRPr="004D34FB">
        <w:rPr>
          <w:rFonts w:ascii="Arial" w:hAnsi="Arial" w:cs="Arial"/>
          <w:i/>
          <w:iCs/>
        </w:rPr>
        <w:t>definition</w:t>
      </w:r>
      <w:proofErr w:type="spellEnd"/>
      <w:r w:rsidRPr="004D34FB">
        <w:rPr>
          <w:rFonts w:ascii="Arial" w:hAnsi="Arial" w:cs="Arial"/>
          <w:i/>
          <w:iCs/>
        </w:rPr>
        <w:t xml:space="preserve">, </w:t>
      </w:r>
      <w:proofErr w:type="spellStart"/>
      <w:r w:rsidRPr="004D34FB">
        <w:rPr>
          <w:rFonts w:ascii="Arial" w:hAnsi="Arial" w:cs="Arial"/>
          <w:i/>
          <w:iCs/>
        </w:rPr>
        <w:t>detection</w:t>
      </w:r>
      <w:proofErr w:type="spellEnd"/>
      <w:r w:rsidRPr="004D34FB">
        <w:rPr>
          <w:rFonts w:ascii="Arial" w:hAnsi="Arial" w:cs="Arial"/>
          <w:i/>
          <w:iCs/>
        </w:rPr>
        <w:t xml:space="preserve"> </w:t>
      </w:r>
      <w:proofErr w:type="spellStart"/>
      <w:r w:rsidRPr="004D34FB">
        <w:rPr>
          <w:rFonts w:ascii="Arial" w:hAnsi="Arial" w:cs="Arial"/>
          <w:i/>
          <w:iCs/>
        </w:rPr>
        <w:t>and</w:t>
      </w:r>
      <w:proofErr w:type="spellEnd"/>
      <w:r w:rsidRPr="004D34FB">
        <w:rPr>
          <w:rFonts w:ascii="Arial" w:hAnsi="Arial" w:cs="Arial"/>
          <w:i/>
          <w:iCs/>
        </w:rPr>
        <w:t xml:space="preserve"> </w:t>
      </w:r>
      <w:proofErr w:type="spellStart"/>
      <w:r w:rsidRPr="004D34FB">
        <w:rPr>
          <w:rFonts w:ascii="Arial" w:hAnsi="Arial" w:cs="Arial"/>
          <w:i/>
          <w:iCs/>
        </w:rPr>
        <w:t>alerting</w:t>
      </w:r>
      <w:proofErr w:type="spellEnd"/>
      <w:r w:rsidRPr="004D34FB">
        <w:rPr>
          <w:rFonts w:ascii="Arial" w:hAnsi="Arial" w:cs="Arial"/>
          <w:i/>
          <w:iCs/>
        </w:rPr>
        <w:t xml:space="preserve"> </w:t>
      </w:r>
      <w:proofErr w:type="spellStart"/>
      <w:r w:rsidRPr="004D34FB">
        <w:rPr>
          <w:rFonts w:ascii="Arial" w:hAnsi="Arial" w:cs="Arial"/>
          <w:i/>
          <w:iCs/>
        </w:rPr>
        <w:t>services</w:t>
      </w:r>
      <w:proofErr w:type="spellEnd"/>
      <w:r w:rsidRPr="004D34FB">
        <w:rPr>
          <w:rFonts w:ascii="Arial" w:hAnsi="Arial" w:cs="Arial"/>
          <w:i/>
          <w:iCs/>
        </w:rPr>
        <w:t xml:space="preserve"> </w:t>
      </w:r>
      <w:proofErr w:type="spellStart"/>
      <w:r w:rsidRPr="004D34FB">
        <w:rPr>
          <w:rFonts w:ascii="Arial" w:hAnsi="Arial" w:cs="Arial"/>
          <w:i/>
          <w:iCs/>
        </w:rPr>
        <w:t>investigation</w:t>
      </w:r>
      <w:proofErr w:type="spellEnd"/>
      <w:r w:rsidRPr="004D34FB">
        <w:rPr>
          <w:rFonts w:ascii="Arial" w:hAnsi="Arial" w:cs="Arial"/>
        </w:rPr>
        <w:t xml:space="preserve"> («</w:t>
      </w:r>
      <w:proofErr w:type="spellStart"/>
      <w:r w:rsidRPr="004D34FB">
        <w:rPr>
          <w:rFonts w:ascii="Arial" w:hAnsi="Arial" w:cs="Arial"/>
        </w:rPr>
        <w:t>Метеоцунами</w:t>
      </w:r>
      <w:proofErr w:type="spellEnd"/>
      <w:r w:rsidRPr="004D34FB">
        <w:rPr>
          <w:rFonts w:ascii="Arial" w:hAnsi="Arial" w:cs="Arial"/>
        </w:rPr>
        <w:t>: определение, обнаружение и оценка службами оповещения»). 2025. Париж, ЮНЕСКО.</w:t>
      </w:r>
      <w:r w:rsidRPr="004D34FB">
        <w:rPr>
          <w:rFonts w:ascii="Arial" w:hAnsi="Arial" w:cs="Arial"/>
          <w:snapToGrid w:val="0"/>
        </w:rPr>
        <w:t xml:space="preserve"> </w:t>
      </w:r>
      <w:r w:rsidRPr="004D34FB">
        <w:rPr>
          <w:rFonts w:ascii="Arial" w:hAnsi="Arial" w:cs="Arial"/>
        </w:rPr>
        <w:t>(</w:t>
      </w:r>
      <w:hyperlink r:id="rId9" w:history="1">
        <w:r w:rsidRPr="004D34FB">
          <w:rPr>
            <w:rFonts w:ascii="Arial" w:hAnsi="Arial" w:cs="Arial"/>
            <w:snapToGrid w:val="0"/>
            <w:color w:val="0000FF"/>
            <w:u w:val="single"/>
          </w:rPr>
          <w:t xml:space="preserve">Серия технических докладов МОК, </w:t>
        </w:r>
        <w:proofErr w:type="spellStart"/>
        <w:r w:rsidRPr="004D34FB">
          <w:rPr>
            <w:rFonts w:ascii="Arial" w:hAnsi="Arial" w:cs="Arial"/>
            <w:snapToGrid w:val="0"/>
            <w:color w:val="0000FF"/>
            <w:u w:val="single"/>
          </w:rPr>
          <w:t>вып</w:t>
        </w:r>
        <w:proofErr w:type="spellEnd"/>
        <w:r w:rsidRPr="004D34FB">
          <w:rPr>
            <w:rFonts w:ascii="Arial" w:hAnsi="Arial" w:cs="Arial"/>
            <w:snapToGrid w:val="0"/>
            <w:color w:val="0000FF"/>
            <w:u w:val="single"/>
          </w:rPr>
          <w:t>. № 200</w:t>
        </w:r>
      </w:hyperlink>
      <w:r w:rsidRPr="004D34FB">
        <w:rPr>
          <w:rFonts w:ascii="Arial" w:hAnsi="Arial" w:cs="Arial"/>
        </w:rPr>
        <w:t>) и Итоговое заявление участников второго Всемирного симпозиума ЮНЕСКО/МОК по цунами на тему «Осмысление двух десятилетий по прошествии цунами 2004 г. в Индийском океане: что дальше?», (11-14 ноября 2024 г. Банда-Ачех, Индонезия). Париж. ЮНЕСКО (</w:t>
      </w:r>
      <w:hyperlink r:id="rId10" w:history="1">
        <w:r w:rsidRPr="004D34FB">
          <w:rPr>
            <w:rFonts w:ascii="Arial" w:hAnsi="Arial" w:cs="Arial"/>
            <w:snapToGrid w:val="0"/>
            <w:color w:val="0000FF"/>
            <w:u w:val="single"/>
          </w:rPr>
          <w:t>Брошюра МОК № 2025-1</w:t>
        </w:r>
      </w:hyperlink>
      <w:r w:rsidRPr="004D34FB">
        <w:rPr>
          <w:rFonts w:ascii="Arial" w:hAnsi="Arial" w:cs="Arial"/>
        </w:rPr>
        <w:t>)</w:t>
      </w:r>
      <w:r w:rsidR="00C345C9">
        <w:rPr>
          <w:rFonts w:ascii="Arial" w:hAnsi="Arial" w:cs="Arial"/>
          <w:lang w:val="fr-FR"/>
        </w:rPr>
        <w:t>;</w:t>
      </w:r>
    </w:p>
    <w:bookmarkEnd w:id="3"/>
    <w:p w14:paraId="394B3C19" w14:textId="7F35A483" w:rsidR="00A40455" w:rsidRPr="004D34FB" w:rsidRDefault="00A40455" w:rsidP="004E4195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bCs/>
          <w:snapToGrid w:val="0"/>
        </w:rPr>
      </w:pPr>
      <w:r w:rsidRPr="004D34FB">
        <w:rPr>
          <w:rFonts w:ascii="Arial" w:hAnsi="Arial" w:cs="Arial"/>
        </w:rPr>
        <w:t xml:space="preserve">Презентация онлайновых учебных курсов ЮНЕСКО/МОК по повышению осведомленности о цунами и программе «К цунами готов» с использованием интернет-платформы </w:t>
      </w:r>
      <w:hyperlink r:id="rId11" w:history="1">
        <w:r w:rsidRPr="004D34FB">
          <w:rPr>
            <w:rFonts w:ascii="Arial" w:hAnsi="Arial" w:cs="Arial"/>
            <w:bCs/>
            <w:snapToGrid w:val="0"/>
            <w:color w:val="0000FF"/>
            <w:u w:val="single"/>
          </w:rPr>
          <w:t>Глобальной академии «Океан-инструктор» (ГАОИ)</w:t>
        </w:r>
      </w:hyperlink>
      <w:r w:rsidR="00C345C9" w:rsidRPr="00C345C9">
        <w:rPr>
          <w:rFonts w:ascii="Arial" w:hAnsi="Arial" w:cs="Arial"/>
        </w:rPr>
        <w:t>;</w:t>
      </w:r>
    </w:p>
    <w:p w14:paraId="4DC028A7" w14:textId="25769A90" w:rsidR="005B21D5" w:rsidRPr="004D34FB" w:rsidRDefault="00A40455" w:rsidP="004E4195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bCs/>
          <w:snapToGrid w:val="0"/>
        </w:rPr>
      </w:pPr>
      <w:hyperlink r:id="rId12" w:history="1">
        <w:r w:rsidRPr="004D34FB">
          <w:rPr>
            <w:rFonts w:ascii="Arial" w:hAnsi="Arial" w:cs="Arial"/>
            <w:bCs/>
            <w:snapToGrid w:val="0"/>
            <w:color w:val="0000FF"/>
            <w:u w:val="single"/>
          </w:rPr>
          <w:t>Цунами: кардинальные изменения в интересах повышения жизнестойкости</w:t>
        </w:r>
      </w:hyperlink>
      <w:r w:rsidRPr="004D34FB">
        <w:rPr>
          <w:rFonts w:ascii="Arial" w:hAnsi="Arial" w:cs="Arial"/>
        </w:rPr>
        <w:t xml:space="preserve">, выставка, подготовленная в партнерстве с Управлением Организации Объединенных Наций по снижению риска бедствий (УСРБ ООН) и компанией </w:t>
      </w:r>
      <w:proofErr w:type="spellStart"/>
      <w:r w:rsidRPr="004D34FB">
        <w:rPr>
          <w:rFonts w:ascii="Arial" w:hAnsi="Arial" w:cs="Arial"/>
        </w:rPr>
        <w:t>Nautilus</w:t>
      </w:r>
      <w:proofErr w:type="spellEnd"/>
      <w:r w:rsidRPr="004D34FB">
        <w:rPr>
          <w:rFonts w:ascii="Arial" w:hAnsi="Arial" w:cs="Arial"/>
        </w:rPr>
        <w:t xml:space="preserve">, в рамках которой были представлены портреты работы художника Мэтта Портоса, повествующие о вдохновляющих историях жизни реальных людей, а также предыдущие и новые работы, посвященные 20-й годовщине цунами 2004 г. в Индийском океане; организация в Штаб-квартире ЮНЕСКО 26 ноября 2024 г. </w:t>
      </w:r>
      <w:hyperlink r:id="rId13" w:history="1">
        <w:r w:rsidRPr="004D34FB">
          <w:rPr>
            <w:rFonts w:ascii="Arial" w:hAnsi="Arial" w:cs="Arial"/>
            <w:color w:val="0000FF"/>
            <w:u w:val="single"/>
          </w:rPr>
          <w:t>мероприятия по случаю 20-й годовщины цунами 2004 г. в Индийском океане</w:t>
        </w:r>
      </w:hyperlink>
      <w:r w:rsidRPr="004D34FB">
        <w:rPr>
          <w:rFonts w:ascii="Arial" w:hAnsi="Arial" w:cs="Arial"/>
        </w:rPr>
        <w:t xml:space="preserve"> с обсуждением темы повышения устойчивости к рискам стихийных бедствий, церемонией поминовения жертв и подтверждением нашего обязательства содействовать готовности населения к стихийным бедствиям</w:t>
      </w:r>
      <w:r w:rsidR="00C345C9" w:rsidRPr="00C345C9">
        <w:rPr>
          <w:rFonts w:ascii="Arial" w:hAnsi="Arial" w:cs="Arial"/>
        </w:rPr>
        <w:t>.</w:t>
      </w:r>
    </w:p>
    <w:p w14:paraId="56E4682B" w14:textId="6D196AA1" w:rsidR="00A40455" w:rsidRPr="00356A0B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bCs/>
          <w:snapToGrid w:val="0"/>
        </w:rPr>
      </w:pPr>
      <w:r w:rsidRPr="004D34FB">
        <w:rPr>
          <w:rFonts w:ascii="Arial" w:hAnsi="Arial" w:cs="Arial"/>
          <w:b/>
        </w:rPr>
        <w:t>Группа приняла</w:t>
      </w:r>
      <w:r w:rsidRPr="004D34FB">
        <w:rPr>
          <w:rFonts w:ascii="Arial" w:hAnsi="Arial" w:cs="Arial"/>
        </w:rPr>
        <w:t xml:space="preserve"> предложение УСРБ ООН участ</w:t>
      </w:r>
      <w:r w:rsidR="00A27C1F">
        <w:rPr>
          <w:rFonts w:ascii="Arial" w:hAnsi="Arial" w:cs="Arial"/>
        </w:rPr>
        <w:t>вовать</w:t>
      </w:r>
      <w:r w:rsidRPr="004D34FB">
        <w:rPr>
          <w:rFonts w:ascii="Arial" w:hAnsi="Arial" w:cs="Arial"/>
        </w:rPr>
        <w:t xml:space="preserve"> в определении темы Всемирного дня распространения информации о проблеме цунами 2025 г. в увязке с Программой сертификации готовности к цунами и программой «Повышение жизнестойкости городов к 2030 году», с использованием </w:t>
      </w:r>
      <w:proofErr w:type="spellStart"/>
      <w:r w:rsidRPr="004D34FB">
        <w:rPr>
          <w:rFonts w:ascii="Arial" w:hAnsi="Arial" w:cs="Arial"/>
        </w:rPr>
        <w:t>хэштегов</w:t>
      </w:r>
      <w:proofErr w:type="spellEnd"/>
      <w:r w:rsidRPr="004D34FB">
        <w:rPr>
          <w:rFonts w:ascii="Arial" w:hAnsi="Arial" w:cs="Arial"/>
        </w:rPr>
        <w:t xml:space="preserve"> </w:t>
      </w:r>
      <w:hyperlink r:id="rId14" w:history="1">
        <w:r w:rsidRPr="004D34FB">
          <w:rPr>
            <w:rFonts w:ascii="Arial" w:hAnsi="Arial" w:cs="Arial"/>
            <w:bCs/>
            <w:snapToGrid w:val="0"/>
            <w:color w:val="0000FF"/>
            <w:u w:val="single"/>
          </w:rPr>
          <w:t>#GetToHighGround</w:t>
        </w:r>
      </w:hyperlink>
      <w:r w:rsidRPr="004D34FB">
        <w:rPr>
          <w:rFonts w:ascii="Arial" w:hAnsi="Arial" w:cs="Arial"/>
        </w:rPr>
        <w:t xml:space="preserve"> и </w:t>
      </w:r>
      <w:r w:rsidRPr="004D34FB">
        <w:rPr>
          <w:rFonts w:ascii="Arial" w:hAnsi="Arial" w:cs="Arial"/>
          <w:color w:val="0000FF"/>
        </w:rPr>
        <w:t>#TsunamiReady</w:t>
      </w:r>
      <w:r w:rsidR="00A27C1F">
        <w:rPr>
          <w:rFonts w:ascii="Arial" w:hAnsi="Arial" w:cs="Arial"/>
          <w:color w:val="0000FF"/>
        </w:rPr>
        <w:t>,</w:t>
      </w:r>
      <w:r w:rsidRPr="004D34FB">
        <w:rPr>
          <w:rFonts w:ascii="Arial" w:hAnsi="Arial" w:cs="Arial"/>
        </w:rPr>
        <w:t xml:space="preserve"> с целью привлечения граждан к участию в информационной кампании по </w:t>
      </w:r>
      <w:r w:rsidR="00A27C1F">
        <w:rPr>
          <w:rFonts w:ascii="Arial" w:hAnsi="Arial" w:cs="Arial"/>
        </w:rPr>
        <w:t>пробле</w:t>
      </w:r>
      <w:r w:rsidRPr="004D34FB">
        <w:rPr>
          <w:rFonts w:ascii="Arial" w:hAnsi="Arial" w:cs="Arial"/>
        </w:rPr>
        <w:t>матике цунами</w:t>
      </w:r>
      <w:r w:rsidR="00C345C9" w:rsidRPr="00356A0B">
        <w:rPr>
          <w:rFonts w:ascii="Arial" w:hAnsi="Arial" w:cs="Arial"/>
        </w:rPr>
        <w:t>.</w:t>
      </w:r>
    </w:p>
    <w:p w14:paraId="137D2A9E" w14:textId="77777777" w:rsidR="00A40455" w:rsidRPr="004D34FB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4D34FB">
        <w:rPr>
          <w:rFonts w:ascii="Arial" w:hAnsi="Arial" w:cs="Arial"/>
          <w:b/>
        </w:rPr>
        <w:t>Группа высоко оценила</w:t>
      </w:r>
      <w:r w:rsidRPr="004D34FB">
        <w:rPr>
          <w:rFonts w:ascii="Arial" w:hAnsi="Arial" w:cs="Arial"/>
        </w:rPr>
        <w:t xml:space="preserve"> разработку универсальных типовых инструкций (УТИ) и инструментов предупреждения об опасности для детей-инвалидов в Индонезии и странах Карибского бассейна, </w:t>
      </w:r>
      <w:r w:rsidRPr="004D34FB">
        <w:rPr>
          <w:rFonts w:ascii="Arial" w:hAnsi="Arial" w:cs="Arial"/>
          <w:b/>
        </w:rPr>
        <w:t>рекомендовала</w:t>
      </w:r>
      <w:r w:rsidRPr="004D34FB">
        <w:rPr>
          <w:rFonts w:ascii="Arial" w:hAnsi="Arial" w:cs="Arial"/>
        </w:rPr>
        <w:t xml:space="preserve"> перевести индонезийскую УТИ на английский язык, а также </w:t>
      </w:r>
      <w:r w:rsidRPr="004D34FB">
        <w:rPr>
          <w:rFonts w:ascii="Arial" w:hAnsi="Arial" w:cs="Arial"/>
          <w:b/>
        </w:rPr>
        <w:t>призвала</w:t>
      </w:r>
      <w:r w:rsidRPr="004D34FB">
        <w:rPr>
          <w:rFonts w:ascii="Arial" w:hAnsi="Arial" w:cs="Arial"/>
        </w:rPr>
        <w:t xml:space="preserve"> разработать УТИ в качестве официального наставления ЮНЕСКО/МОК.</w:t>
      </w:r>
    </w:p>
    <w:p w14:paraId="43D89F94" w14:textId="39FCCEAE" w:rsidR="00A40455" w:rsidRPr="00356A0B" w:rsidRDefault="00A40455" w:rsidP="00A40455">
      <w:pPr>
        <w:spacing w:after="240"/>
        <w:jc w:val="both"/>
        <w:rPr>
          <w:rFonts w:ascii="Arial" w:eastAsia="DengXian" w:hAnsi="Arial" w:cs="Arial"/>
        </w:rPr>
      </w:pPr>
      <w:r w:rsidRPr="004D34FB">
        <w:rPr>
          <w:rFonts w:ascii="Arial" w:hAnsi="Arial" w:cs="Arial"/>
          <w:b/>
        </w:rPr>
        <w:t>Группа приняла к сведению</w:t>
      </w:r>
      <w:r w:rsidRPr="004D34FB">
        <w:rPr>
          <w:rFonts w:ascii="Arial" w:hAnsi="Arial" w:cs="Arial"/>
        </w:rPr>
        <w:t xml:space="preserve"> изменения, внесенные в документ </w:t>
      </w:r>
      <w:r w:rsidRPr="004D34FB">
        <w:rPr>
          <w:rFonts w:ascii="Arial" w:hAnsi="Arial" w:cs="Arial"/>
          <w:i/>
        </w:rPr>
        <w:t>«Деятельность по наблюдению за цунами: определение глобальных услуг»</w:t>
      </w:r>
      <w:r w:rsidRPr="004D34FB">
        <w:rPr>
          <w:rFonts w:ascii="Arial" w:hAnsi="Arial" w:cs="Arial"/>
        </w:rPr>
        <w:t xml:space="preserve"> (</w:t>
      </w:r>
      <w:hyperlink r:id="rId15" w:history="1">
        <w:r w:rsidRPr="004D34FB">
          <w:rPr>
            <w:rFonts w:ascii="Arial" w:hAnsi="Arial" w:cs="Arial"/>
            <w:color w:val="0000FF"/>
            <w:u w:val="single"/>
          </w:rPr>
          <w:t>Серия технических докладов МОК, № 130</w:t>
        </w:r>
      </w:hyperlink>
      <w:r w:rsidRPr="004D34FB">
        <w:rPr>
          <w:rFonts w:ascii="Arial" w:hAnsi="Arial" w:cs="Arial"/>
        </w:rPr>
        <w:t>). Париж, ЮНЕСКО (на английском языке)</w:t>
      </w:r>
      <w:r w:rsidR="00356A0B" w:rsidRPr="00356A0B">
        <w:rPr>
          <w:rFonts w:ascii="Arial" w:hAnsi="Arial" w:cs="Arial"/>
        </w:rPr>
        <w:t>,</w:t>
      </w:r>
      <w:r w:rsidRPr="004D34FB">
        <w:rPr>
          <w:rFonts w:ascii="Arial" w:hAnsi="Arial" w:cs="Arial"/>
        </w:rPr>
        <w:t xml:space="preserve"> и </w:t>
      </w:r>
      <w:r w:rsidRPr="004D34FB">
        <w:rPr>
          <w:rFonts w:ascii="Arial" w:hAnsi="Arial" w:cs="Arial"/>
          <w:b/>
        </w:rPr>
        <w:t>одобрила</w:t>
      </w:r>
      <w:r w:rsidRPr="004D34FB">
        <w:rPr>
          <w:rFonts w:ascii="Arial" w:hAnsi="Arial" w:cs="Arial"/>
        </w:rPr>
        <w:t xml:space="preserve"> публикацию пересмотренного варианта Серия технических докладов МОК, № 130 с внесенными изменениями, предложенными ЦГ</w:t>
      </w:r>
      <w:r w:rsidR="004E4195" w:rsidRPr="004E4195">
        <w:rPr>
          <w:rFonts w:ascii="Arial" w:hAnsi="Arial" w:cs="Arial"/>
        </w:rPr>
        <w:noBreakHyphen/>
      </w:r>
      <w:r w:rsidRPr="004D34FB">
        <w:rPr>
          <w:rFonts w:ascii="Arial" w:hAnsi="Arial" w:cs="Arial"/>
        </w:rPr>
        <w:t>НЦ</w:t>
      </w:r>
      <w:r w:rsidR="00356A0B" w:rsidRPr="00356A0B">
        <w:rPr>
          <w:rFonts w:ascii="Arial" w:hAnsi="Arial" w:cs="Arial"/>
        </w:rPr>
        <w:t>.</w:t>
      </w:r>
    </w:p>
    <w:p w14:paraId="686EC2BC" w14:textId="1E81498D" w:rsidR="00A40455" w:rsidRPr="0080157A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выразила глубокую признательность</w:t>
      </w:r>
      <w:r w:rsidRPr="004D34FB">
        <w:rPr>
          <w:rFonts w:ascii="Arial" w:hAnsi="Arial" w:cs="Arial"/>
          <w:snapToGrid w:val="0"/>
        </w:rPr>
        <w:t xml:space="preserve"> правительству Индонезии за организацию и успешное проведение второго Всемирного симпозиума ЮНЕСКО/МОК по цунами на тему «Осмысление двух десятилетий по прошествии цунами 2004 г. в Индийском океане: что дальше?», (11-14 ноября 2024 г. Банда-Ачех, Индонезия)</w:t>
      </w:r>
      <w:r w:rsidR="00356A0B" w:rsidRPr="0080157A">
        <w:rPr>
          <w:rFonts w:ascii="Arial" w:hAnsi="Arial" w:cs="Arial"/>
          <w:snapToGrid w:val="0"/>
        </w:rPr>
        <w:t>.</w:t>
      </w:r>
    </w:p>
    <w:p w14:paraId="4D73B722" w14:textId="412AA382" w:rsidR="00A40455" w:rsidRPr="0080157A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80157A">
        <w:rPr>
          <w:rFonts w:ascii="Arial" w:hAnsi="Arial" w:cs="Arial"/>
          <w:b/>
          <w:snapToGrid w:val="0"/>
        </w:rPr>
        <w:t>Группа отметила</w:t>
      </w:r>
      <w:r w:rsidRPr="004D34FB">
        <w:rPr>
          <w:rFonts w:ascii="Arial" w:hAnsi="Arial" w:cs="Arial"/>
          <w:snapToGrid w:val="0"/>
        </w:rPr>
        <w:t xml:space="preserve">, что повсеместное внедрение общих протоколов оповещения (ОПО) о чрезвычайной ситуации представляет собой важный шаг вперед в реализации инициативы Генерального секретаря ООН «Заблаговременные предупреждения для всех» (инициатива ЗПДВ), а также </w:t>
      </w:r>
      <w:r w:rsidRPr="004D34FB">
        <w:rPr>
          <w:rFonts w:ascii="Arial" w:hAnsi="Arial" w:cs="Arial"/>
          <w:b/>
          <w:snapToGrid w:val="0"/>
        </w:rPr>
        <w:t>указала</w:t>
      </w:r>
      <w:r w:rsidRPr="004D34FB">
        <w:rPr>
          <w:rFonts w:ascii="Arial" w:hAnsi="Arial" w:cs="Arial"/>
          <w:snapToGrid w:val="0"/>
        </w:rPr>
        <w:t>, что ОПО можно рассматривать как объединение этапа «наблюдения, мониторинга, оценки и прогнозирования» с этапом «рассылки предупреждений и передачи информации», и что ВМО имеет возможность оказать любую помощь, которая может потребоваться в этом отношении</w:t>
      </w:r>
      <w:r w:rsidR="0080157A" w:rsidRPr="0080157A">
        <w:rPr>
          <w:rFonts w:ascii="Arial" w:hAnsi="Arial" w:cs="Arial"/>
          <w:snapToGrid w:val="0"/>
        </w:rPr>
        <w:t>.</w:t>
      </w:r>
    </w:p>
    <w:p w14:paraId="6B456C97" w14:textId="0CF22380" w:rsidR="00A40455" w:rsidRPr="004D34FB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поручила</w:t>
      </w:r>
      <w:r w:rsidRPr="004D34FB">
        <w:rPr>
          <w:rFonts w:ascii="Arial" w:hAnsi="Arial" w:cs="Arial"/>
          <w:snapToGrid w:val="0"/>
        </w:rPr>
        <w:t xml:space="preserve"> ЦГ-ЛПГ:</w:t>
      </w:r>
    </w:p>
    <w:p w14:paraId="5A6CFF2C" w14:textId="02B64B71" w:rsidR="005B21D5" w:rsidRPr="004D34FB" w:rsidRDefault="00A40455" w:rsidP="004E4195">
      <w:pPr>
        <w:numPr>
          <w:ilvl w:val="0"/>
          <w:numId w:val="24"/>
        </w:numPr>
        <w:snapToGrid w:val="0"/>
        <w:spacing w:after="240" w:line="240" w:lineRule="auto"/>
        <w:ind w:left="851" w:hanging="284"/>
        <w:jc w:val="both"/>
        <w:rPr>
          <w:rFonts w:ascii="Arial" w:eastAsia="Arial" w:hAnsi="Arial" w:cs="Arial"/>
          <w:snapToGrid w:val="0"/>
        </w:rPr>
      </w:pPr>
      <w:r w:rsidRPr="004D34FB">
        <w:rPr>
          <w:rFonts w:ascii="Arial" w:hAnsi="Arial" w:cs="Arial"/>
        </w:rPr>
        <w:t>подготовить методическое руководство по разработке универсальной типовой инструкции (УТИ) на основе УТИ и универсальных инструментов предупреждения об опасности для детей-инвалидов, подготовленных в Индонезии и странах Карибского бассейна</w:t>
      </w:r>
      <w:r w:rsidR="0080157A" w:rsidRPr="0080157A">
        <w:rPr>
          <w:rFonts w:ascii="Arial" w:hAnsi="Arial" w:cs="Arial"/>
        </w:rPr>
        <w:t>.</w:t>
      </w:r>
    </w:p>
    <w:p w14:paraId="5CDCE3AD" w14:textId="5FE47518" w:rsidR="00A40455" w:rsidRPr="004D34FB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поручила</w:t>
      </w:r>
      <w:r w:rsidRPr="004D34FB">
        <w:rPr>
          <w:rFonts w:ascii="Arial" w:hAnsi="Arial" w:cs="Arial"/>
          <w:snapToGrid w:val="0"/>
        </w:rPr>
        <w:t xml:space="preserve"> ЦГ-НЦ:</w:t>
      </w:r>
    </w:p>
    <w:p w14:paraId="21174389" w14:textId="77777777" w:rsidR="00A40455" w:rsidRPr="004D34FB" w:rsidRDefault="00A40455" w:rsidP="004E4195">
      <w:pPr>
        <w:numPr>
          <w:ilvl w:val="0"/>
          <w:numId w:val="25"/>
        </w:numPr>
        <w:snapToGrid w:val="0"/>
        <w:spacing w:after="240" w:line="240" w:lineRule="auto"/>
        <w:ind w:left="851" w:hanging="284"/>
        <w:contextualSpacing/>
        <w:jc w:val="both"/>
        <w:rPr>
          <w:rFonts w:ascii="Arial" w:eastAsia="Arial" w:hAnsi="Arial" w:cs="Arial"/>
          <w:bCs/>
          <w:snapToGrid w:val="0"/>
        </w:rPr>
      </w:pPr>
      <w:r w:rsidRPr="004D34FB">
        <w:rPr>
          <w:rFonts w:ascii="Arial" w:hAnsi="Arial" w:cs="Arial"/>
          <w:snapToGrid w:val="0"/>
        </w:rPr>
        <w:t>включить тематику цунами, вызванных подводными и субаэральными оползнями, в программу своей работы и взаимодействовать с научным сообществом и специалистами-практиками, занимающимся вопросами оползневой опасности и раннего предупреждения, для выполнения требований, предусмотренных в первой цели ПЦДО, касающейся возможности систем предупреждения направлять оперативные и своевременные предупреждения о цунами любого происхождения всем подверженным риску жителям прибрежных районов;</w:t>
      </w:r>
    </w:p>
    <w:p w14:paraId="3D235FDB" w14:textId="77777777" w:rsidR="00A40455" w:rsidRPr="004D34FB" w:rsidRDefault="00A40455" w:rsidP="004E4195">
      <w:pPr>
        <w:ind w:left="851" w:hanging="284"/>
        <w:contextualSpacing/>
        <w:rPr>
          <w:rFonts w:ascii="Arial" w:eastAsia="Arial" w:hAnsi="Arial" w:cs="Arial"/>
          <w:bCs/>
          <w:snapToGrid w:val="0"/>
        </w:rPr>
      </w:pPr>
    </w:p>
    <w:p w14:paraId="0C837835" w14:textId="5F939055" w:rsidR="005B21D5" w:rsidRPr="004D34FB" w:rsidRDefault="00A40455" w:rsidP="004E4195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Arial" w:hAnsi="Arial" w:cs="Arial"/>
          <w:bCs/>
          <w:snapToGrid w:val="0"/>
        </w:rPr>
      </w:pPr>
      <w:r w:rsidRPr="004D34FB">
        <w:rPr>
          <w:rFonts w:ascii="Arial" w:hAnsi="Arial" w:cs="Arial"/>
          <w:bCs/>
          <w:snapToGrid w:val="0"/>
        </w:rPr>
        <w:t>разработать в сотрудничестве с ВМО единую типовую форму шаблона ОПО для ПДСЦ в целях упрощения рассылки бюллетеней от провайдеров данных в национальные центры предупреждения о цунами, их распространения между ПДСЦ разных бассейнов, а также разработать форму шаблона бюллетеней ПДСЦ, предназначенных для населения, и представить их на утверждение РГ-СПЦО на ее следующей сесси</w:t>
      </w:r>
      <w:r w:rsidR="00846999" w:rsidRPr="00846999">
        <w:rPr>
          <w:rFonts w:ascii="Arial" w:hAnsi="Arial" w:cs="Arial"/>
          <w:bCs/>
          <w:snapToGrid w:val="0"/>
        </w:rPr>
        <w:t>и</w:t>
      </w:r>
      <w:r w:rsidR="0080157A" w:rsidRPr="0080157A">
        <w:rPr>
          <w:rFonts w:ascii="Arial" w:hAnsi="Arial" w:cs="Arial"/>
          <w:bCs/>
          <w:snapToGrid w:val="0"/>
        </w:rPr>
        <w:t>.</w:t>
      </w:r>
    </w:p>
    <w:p w14:paraId="5D721489" w14:textId="437592D4" w:rsidR="00A40455" w:rsidRPr="004D34FB" w:rsidRDefault="00A40455" w:rsidP="00A40455">
      <w:pPr>
        <w:tabs>
          <w:tab w:val="left" w:pos="709"/>
        </w:tabs>
        <w:snapToGrid w:val="0"/>
        <w:spacing w:before="240" w:after="240" w:line="240" w:lineRule="auto"/>
        <w:jc w:val="both"/>
        <w:rPr>
          <w:rFonts w:ascii="Arial" w:eastAsia="SimSun" w:hAnsi="Arial" w:cs="Arial"/>
          <w:snapToGrid w:val="0"/>
        </w:rPr>
      </w:pPr>
      <w:bookmarkStart w:id="4" w:name="_Hlk128689899"/>
      <w:r w:rsidRPr="004D34FB">
        <w:rPr>
          <w:rFonts w:ascii="Arial" w:hAnsi="Arial" w:cs="Arial"/>
          <w:b/>
          <w:snapToGrid w:val="0"/>
        </w:rPr>
        <w:t>Группа рекомендовала</w:t>
      </w:r>
      <w:r w:rsidRPr="004D34FB">
        <w:rPr>
          <w:rFonts w:ascii="Arial" w:hAnsi="Arial" w:cs="Arial"/>
          <w:snapToGrid w:val="0"/>
        </w:rPr>
        <w:t xml:space="preserve"> Ассамблее МОК утвердить на ее 33-й сессии в 2025 г. план мероприятий Коалиции по поощрению готовности к цунами, который был рассмотрен научным комитетом ПЦДО, ЦГ-ЛПГ и ЦГ-НЦ, и в который включены:</w:t>
      </w:r>
    </w:p>
    <w:p w14:paraId="7C8AA528" w14:textId="77777777" w:rsidR="00A40455" w:rsidRPr="004D34FB" w:rsidRDefault="00A40455" w:rsidP="004E4195">
      <w:pPr>
        <w:numPr>
          <w:ilvl w:val="0"/>
          <w:numId w:val="29"/>
        </w:numPr>
        <w:snapToGrid w:val="0"/>
        <w:spacing w:before="240" w:after="240" w:line="240" w:lineRule="auto"/>
        <w:ind w:left="851" w:hanging="284"/>
        <w:contextualSpacing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Задачи и круг ведения Коалиции;</w:t>
      </w:r>
    </w:p>
    <w:p w14:paraId="6DEEE41E" w14:textId="3EEFEC99" w:rsidR="00A40455" w:rsidRPr="004D34FB" w:rsidRDefault="0094588B" w:rsidP="004E4195">
      <w:pPr>
        <w:numPr>
          <w:ilvl w:val="0"/>
          <w:numId w:val="29"/>
        </w:numPr>
        <w:snapToGrid w:val="0"/>
        <w:spacing w:before="240" w:after="240" w:line="240" w:lineRule="auto"/>
        <w:ind w:left="851" w:hanging="284"/>
        <w:contextualSpacing/>
        <w:jc w:val="both"/>
        <w:rPr>
          <w:rFonts w:ascii="Arial" w:eastAsia="SimSun" w:hAnsi="Arial" w:cs="Arial"/>
          <w:snapToGrid w:val="0"/>
        </w:rPr>
      </w:pPr>
      <w:r>
        <w:rPr>
          <w:rFonts w:ascii="Arial" w:hAnsi="Arial" w:cs="Arial"/>
          <w:snapToGrid w:val="0"/>
        </w:rPr>
        <w:t>Информация о с</w:t>
      </w:r>
      <w:r w:rsidR="00A40455" w:rsidRPr="004D34FB">
        <w:rPr>
          <w:rFonts w:ascii="Arial" w:hAnsi="Arial" w:cs="Arial"/>
          <w:snapToGrid w:val="0"/>
        </w:rPr>
        <w:t>труктур</w:t>
      </w:r>
      <w:r>
        <w:rPr>
          <w:rFonts w:ascii="Arial" w:hAnsi="Arial" w:cs="Arial"/>
          <w:snapToGrid w:val="0"/>
        </w:rPr>
        <w:t>е</w:t>
      </w:r>
      <w:r w:rsidR="00A40455" w:rsidRPr="004D34FB">
        <w:rPr>
          <w:rFonts w:ascii="Arial" w:hAnsi="Arial" w:cs="Arial"/>
          <w:snapToGrid w:val="0"/>
        </w:rPr>
        <w:t xml:space="preserve"> Коалиции;</w:t>
      </w:r>
    </w:p>
    <w:p w14:paraId="00B24505" w14:textId="0B34AB65" w:rsidR="00A40455" w:rsidRPr="004D34FB" w:rsidRDefault="0094588B" w:rsidP="004E4195">
      <w:pPr>
        <w:numPr>
          <w:ilvl w:val="0"/>
          <w:numId w:val="29"/>
        </w:numPr>
        <w:snapToGrid w:val="0"/>
        <w:spacing w:before="240"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>
        <w:rPr>
          <w:rFonts w:ascii="Arial" w:hAnsi="Arial" w:cs="Arial"/>
          <w:snapToGrid w:val="0"/>
        </w:rPr>
        <w:t>Информация об о</w:t>
      </w:r>
      <w:r w:rsidR="00A40455" w:rsidRPr="004D34FB">
        <w:rPr>
          <w:rFonts w:ascii="Arial" w:hAnsi="Arial" w:cs="Arial"/>
          <w:snapToGrid w:val="0"/>
        </w:rPr>
        <w:t>сновны</w:t>
      </w:r>
      <w:r>
        <w:rPr>
          <w:rFonts w:ascii="Arial" w:hAnsi="Arial" w:cs="Arial"/>
          <w:snapToGrid w:val="0"/>
        </w:rPr>
        <w:t>х</w:t>
      </w:r>
      <w:r w:rsidR="00A40455" w:rsidRPr="004D34FB">
        <w:rPr>
          <w:rFonts w:ascii="Arial" w:hAnsi="Arial" w:cs="Arial"/>
          <w:snapToGrid w:val="0"/>
        </w:rPr>
        <w:t xml:space="preserve"> партнер</w:t>
      </w:r>
      <w:r>
        <w:rPr>
          <w:rFonts w:ascii="Arial" w:hAnsi="Arial" w:cs="Arial"/>
          <w:snapToGrid w:val="0"/>
        </w:rPr>
        <w:t>ах</w:t>
      </w:r>
      <w:r w:rsidR="00A40455" w:rsidRPr="004D34FB">
        <w:rPr>
          <w:rFonts w:ascii="Arial" w:hAnsi="Arial" w:cs="Arial"/>
          <w:snapToGrid w:val="0"/>
        </w:rPr>
        <w:t xml:space="preserve"> Коалиции;</w:t>
      </w:r>
    </w:p>
    <w:p w14:paraId="0FE51AB8" w14:textId="77777777" w:rsidR="00A40455" w:rsidRPr="004D34FB" w:rsidRDefault="00A40455" w:rsidP="00A40455">
      <w:pPr>
        <w:tabs>
          <w:tab w:val="left" w:pos="709"/>
        </w:tabs>
        <w:snapToGrid w:val="0"/>
        <w:spacing w:before="240" w:after="240" w:line="240" w:lineRule="auto"/>
        <w:jc w:val="both"/>
        <w:rPr>
          <w:rFonts w:ascii="Arial" w:eastAsia="Arial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рекомендовала</w:t>
      </w:r>
      <w:r w:rsidRPr="004D34FB">
        <w:rPr>
          <w:rFonts w:ascii="Arial" w:hAnsi="Arial" w:cs="Arial"/>
          <w:snapToGrid w:val="0"/>
        </w:rPr>
        <w:t xml:space="preserve"> Ассамблее МОК поручить на своей 33-й сессии в 2023 г. региональным МКГ:</w:t>
      </w:r>
    </w:p>
    <w:bookmarkEnd w:id="4"/>
    <w:p w14:paraId="787F8FF7" w14:textId="77777777" w:rsidR="00A4045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создать на уровне провайдеров данных слежения за цунами (ПДСЦ) в рамках каждой МКГ механизм, который обеспечил бы предоставление ими своих услуг в любое время и для всей зоны охвата МКГ;</w:t>
      </w:r>
    </w:p>
    <w:p w14:paraId="0509DC18" w14:textId="77777777" w:rsidR="005B21D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разработать стандартные рабочие процедуры (СРП) в отношении вулканов, потенциально способных вызвать цунами, в пределах своей зоны мониторинга очагов землетрясения (ЗМОЗ);</w:t>
      </w:r>
    </w:p>
    <w:p w14:paraId="63095AAD" w14:textId="0936593B" w:rsidR="00A4045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протестировать в рамках КАРИБ-СРП, СПЦСПИО и СПЦСВАСМ по меньшей мере одним ПДСЦ, либо в ходе плановой проверки функционирования систем оповещения возможность направления адаптированных бюллетеней для морского сообщества;</w:t>
      </w:r>
    </w:p>
    <w:p w14:paraId="78E87E9A" w14:textId="136DB3F6" w:rsidR="00A4045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внедрить в 2025 г. полноценное использование бюллетеней для морского сообщества по меньшей мере одним ПДСЦ в зоне ответственности каждой МКГ</w:t>
      </w:r>
      <w:r w:rsidR="00772144" w:rsidRPr="00772144">
        <w:rPr>
          <w:rFonts w:ascii="Arial" w:hAnsi="Arial" w:cs="Arial"/>
          <w:snapToGrid w:val="0"/>
        </w:rPr>
        <w:t>.</w:t>
      </w:r>
    </w:p>
    <w:p w14:paraId="0A4DDF65" w14:textId="77777777" w:rsidR="00A40455" w:rsidRPr="004D34FB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рекомендовала</w:t>
      </w:r>
      <w:r w:rsidRPr="004D34FB">
        <w:rPr>
          <w:rFonts w:ascii="Arial" w:hAnsi="Arial" w:cs="Arial"/>
          <w:snapToGrid w:val="0"/>
        </w:rPr>
        <w:t xml:space="preserve"> Ассамблее МОК поручить на своей 33-й сессии в 2023 г. региональным МКГ:</w:t>
      </w:r>
    </w:p>
    <w:p w14:paraId="687FEC7F" w14:textId="24D0F462" w:rsidR="00A40455" w:rsidRPr="004D34FB" w:rsidRDefault="00772144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8073E0">
        <w:rPr>
          <w:rFonts w:ascii="Arial" w:hAnsi="Arial" w:cs="Arial"/>
          <w:snapToGrid w:val="0"/>
        </w:rPr>
        <w:t>у</w:t>
      </w:r>
      <w:r w:rsidR="00A40455" w:rsidRPr="004D34FB">
        <w:rPr>
          <w:rFonts w:ascii="Arial" w:hAnsi="Arial" w:cs="Arial"/>
          <w:snapToGrid w:val="0"/>
        </w:rPr>
        <w:t xml:space="preserve">становление связей между национальными метеорологическими и гидрологическими службами (НМГС) и ТСП/НЦПЦ с целью обеспечения правильного мониторинга и использования приборов для обнаружения </w:t>
      </w:r>
      <w:proofErr w:type="spellStart"/>
      <w:r w:rsidR="00A40455" w:rsidRPr="004D34FB">
        <w:rPr>
          <w:rFonts w:ascii="Arial" w:hAnsi="Arial" w:cs="Arial"/>
          <w:snapToGrid w:val="0"/>
        </w:rPr>
        <w:t>метеоцунами</w:t>
      </w:r>
      <w:proofErr w:type="spellEnd"/>
      <w:r w:rsidR="00A40455" w:rsidRPr="004D34FB">
        <w:rPr>
          <w:rFonts w:ascii="Arial" w:hAnsi="Arial" w:cs="Arial"/>
          <w:snapToGrid w:val="0"/>
        </w:rPr>
        <w:t xml:space="preserve">, включая </w:t>
      </w:r>
      <w:proofErr w:type="spellStart"/>
      <w:r w:rsidR="00A40455" w:rsidRPr="004D34FB">
        <w:rPr>
          <w:rFonts w:ascii="Arial" w:hAnsi="Arial" w:cs="Arial"/>
          <w:snapToGrid w:val="0"/>
        </w:rPr>
        <w:t>цунаметры</w:t>
      </w:r>
      <w:proofErr w:type="spellEnd"/>
      <w:r w:rsidR="00A40455" w:rsidRPr="004D34FB">
        <w:rPr>
          <w:rFonts w:ascii="Arial" w:hAnsi="Arial" w:cs="Arial"/>
          <w:snapToGrid w:val="0"/>
        </w:rPr>
        <w:t>/DART® и океанические кабельные системы;</w:t>
      </w:r>
    </w:p>
    <w:p w14:paraId="0EA0B6EE" w14:textId="77777777" w:rsidR="00A4045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продолжить исследование и изучить возможность применения методов прогнозирования цунами, включая методологии количественно-вероятностной оценки, с целью прогнозирования вероятных последствий, что может в числе прочего оказаться полезным на этапе ликвидации последствий, восстановления после стихийного бедствия и проведения оценки потребностей;</w:t>
      </w:r>
    </w:p>
    <w:p w14:paraId="4696866D" w14:textId="18E552D0" w:rsidR="00A4045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уделить в 2025 г. первоочередное внимание проведению региональных практикумов для специалистов или саммитов по тематике готовности к цунами и продолжить их проведение вплоть до 2030 г.</w:t>
      </w:r>
    </w:p>
    <w:p w14:paraId="36962E18" w14:textId="46461334" w:rsidR="004D34FB" w:rsidRPr="00763EEC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hAnsi="Arial" w:cs="Arial"/>
          <w:snapToGrid w:val="0"/>
        </w:rPr>
      </w:pPr>
      <w:r w:rsidRPr="004D34FB">
        <w:rPr>
          <w:rFonts w:ascii="Arial" w:hAnsi="Arial" w:cs="Arial"/>
          <w:b/>
        </w:rPr>
        <w:t>Группа рекомендовала</w:t>
      </w:r>
      <w:r w:rsidRPr="004D34FB">
        <w:rPr>
          <w:rFonts w:ascii="Arial" w:hAnsi="Arial" w:cs="Arial"/>
        </w:rPr>
        <w:t xml:space="preserve"> Ассамблее МОК на ее 33-й сессии в 2025 г. просить государства</w:t>
      </w:r>
      <w:r w:rsidR="008073E0" w:rsidRPr="008073E0">
        <w:rPr>
          <w:rFonts w:ascii="Arial" w:hAnsi="Arial" w:cs="Arial"/>
        </w:rPr>
        <w:t xml:space="preserve"> </w:t>
      </w:r>
      <w:r w:rsidR="008073E0">
        <w:rPr>
          <w:rFonts w:ascii="Arial" w:hAnsi="Arial" w:cs="Arial"/>
        </w:rPr>
        <w:t>–</w:t>
      </w:r>
      <w:r w:rsidR="008073E0" w:rsidRPr="008073E0">
        <w:rPr>
          <w:rFonts w:ascii="Arial" w:hAnsi="Arial" w:cs="Arial"/>
        </w:rPr>
        <w:t xml:space="preserve"> </w:t>
      </w:r>
      <w:r w:rsidRPr="004D34FB">
        <w:rPr>
          <w:rFonts w:ascii="Arial" w:hAnsi="Arial" w:cs="Arial"/>
        </w:rPr>
        <w:t xml:space="preserve">члены МОК в приоритетном порядке установить/развернуть дополнительные прибрежные мареографы и системы обнаружения/наблюдения за цунами в регионах с высоким риском цунами и приоритетных районах с известными пробелами в охвате (в английском алфавитном порядке: Эгейское море, Карибское море (западная, северная и юго-восточная части), Индийский океан (восточная и северная части), Северная Африка, Филиппинское море, Соломоново море, Южно-Китайское море, </w:t>
      </w:r>
      <w:proofErr w:type="spellStart"/>
      <w:r w:rsidRPr="004D34FB">
        <w:rPr>
          <w:rFonts w:ascii="Arial" w:hAnsi="Arial" w:cs="Arial"/>
        </w:rPr>
        <w:t>Тиморское</w:t>
      </w:r>
      <w:proofErr w:type="spellEnd"/>
      <w:r w:rsidRPr="004D34FB">
        <w:rPr>
          <w:rFonts w:ascii="Arial" w:hAnsi="Arial" w:cs="Arial"/>
        </w:rPr>
        <w:t xml:space="preserve"> море и Желтое море), с тем чтобы обеспечить обнаружение и оценку характера цунами на максимально ранней стадии</w:t>
      </w:r>
      <w:r w:rsidR="00763EEC" w:rsidRPr="00763EEC">
        <w:rPr>
          <w:rFonts w:ascii="Arial" w:hAnsi="Arial" w:cs="Arial"/>
        </w:rPr>
        <w:t>.</w:t>
      </w:r>
    </w:p>
    <w:p w14:paraId="38B44764" w14:textId="199904C3" w:rsidR="005B21D5" w:rsidRPr="00763EEC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b/>
        </w:rPr>
        <w:t>Группа рекомендовала также</w:t>
      </w:r>
      <w:r w:rsidRPr="004D34FB">
        <w:rPr>
          <w:rFonts w:ascii="Arial" w:hAnsi="Arial" w:cs="Arial"/>
        </w:rPr>
        <w:t xml:space="preserve"> Ассамблее МОК на ее 33-й сессии в 2025 г. призвать государства</w:t>
      </w:r>
      <w:r w:rsidR="00763EEC" w:rsidRPr="00763EEC">
        <w:rPr>
          <w:rFonts w:ascii="Arial" w:hAnsi="Arial" w:cs="Arial"/>
        </w:rPr>
        <w:t xml:space="preserve"> </w:t>
      </w:r>
      <w:r w:rsidR="00763EEC">
        <w:rPr>
          <w:rFonts w:ascii="Arial" w:hAnsi="Arial" w:cs="Arial"/>
        </w:rPr>
        <w:t>–</w:t>
      </w:r>
      <w:r w:rsidR="00763EEC" w:rsidRPr="00763EEC">
        <w:rPr>
          <w:rFonts w:ascii="Arial" w:hAnsi="Arial" w:cs="Arial"/>
        </w:rPr>
        <w:t xml:space="preserve"> </w:t>
      </w:r>
      <w:r w:rsidRPr="004D34FB">
        <w:rPr>
          <w:rFonts w:ascii="Arial" w:hAnsi="Arial" w:cs="Arial"/>
        </w:rPr>
        <w:t>члены МОК обеспечить рабочее состояние своих датчиков уровня моря, используемых для обнаружения и мониторинга опасности цунами, максимально быстрое их восстановление в случае выхода из строя, а также по возможности увеличение числа своих датчиков уровня моря и обмен данными в режиме реального времени в районах, которые МКГ определила как неохваченные</w:t>
      </w:r>
      <w:r w:rsidR="00763EEC" w:rsidRPr="00763EEC">
        <w:rPr>
          <w:rFonts w:ascii="Arial" w:hAnsi="Arial" w:cs="Arial"/>
        </w:rPr>
        <w:t>.</w:t>
      </w:r>
    </w:p>
    <w:p w14:paraId="6302D54B" w14:textId="40654A3C" w:rsidR="00A40455" w:rsidRPr="00763EEC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рекомендовала</w:t>
      </w:r>
      <w:r w:rsidRPr="004D34FB">
        <w:rPr>
          <w:rFonts w:ascii="Arial" w:hAnsi="Arial" w:cs="Arial"/>
          <w:snapToGrid w:val="0"/>
        </w:rPr>
        <w:t xml:space="preserve"> государствам-членам увеличить вложение средств в морское оборудование и приборы для целей обнаружения и мониторинга сейсмических явлений и уровня моря, такие как буи </w:t>
      </w:r>
      <w:proofErr w:type="spellStart"/>
      <w:r w:rsidRPr="004D34FB">
        <w:rPr>
          <w:rFonts w:ascii="Arial" w:hAnsi="Arial" w:cs="Arial"/>
          <w:snapToGrid w:val="0"/>
        </w:rPr>
        <w:t>Tsunameter</w:t>
      </w:r>
      <w:proofErr w:type="spellEnd"/>
      <w:r w:rsidRPr="004D34FB">
        <w:rPr>
          <w:rFonts w:ascii="Arial" w:hAnsi="Arial" w:cs="Arial"/>
          <w:snapToGrid w:val="0"/>
        </w:rPr>
        <w:t>/DART®/GPS и кабельные системы (например, интеллектуальные кабели) по возможности с функцией отслеживания комбинированных стихийных бедствий, которые обеспечили бы потребности в области сейсмологии землетрясений, метеорологии и океанографии</w:t>
      </w:r>
      <w:r w:rsidR="00763EEC" w:rsidRPr="00763EEC">
        <w:rPr>
          <w:rFonts w:ascii="Arial" w:hAnsi="Arial" w:cs="Arial"/>
          <w:snapToGrid w:val="0"/>
        </w:rPr>
        <w:t>.</w:t>
      </w:r>
    </w:p>
    <w:p w14:paraId="2E0FF31A" w14:textId="2C682C91" w:rsidR="005B21D5" w:rsidRPr="00846999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рекомендовала также</w:t>
      </w:r>
      <w:r w:rsidRPr="004D34FB">
        <w:rPr>
          <w:rFonts w:ascii="Arial" w:hAnsi="Arial" w:cs="Arial"/>
          <w:snapToGrid w:val="0"/>
        </w:rPr>
        <w:t xml:space="preserve"> Ассамблее МОК на ее 33-й сессии в 2025 г. призвать государства-члены вносить добровольные финансовые взносы на специальный счет МОК и взносы в натуральной форме для поддержки Программы по цунами в рамках Десятилетия, посвященного науке об</w:t>
      </w:r>
      <w:r w:rsidR="004D34FB" w:rsidRPr="004D34FB">
        <w:rPr>
          <w:rFonts w:ascii="Arial" w:hAnsi="Arial" w:cs="Arial"/>
          <w:snapToGrid w:val="0"/>
        </w:rPr>
        <w:t xml:space="preserve"> </w:t>
      </w:r>
      <w:r w:rsidRPr="004D34FB">
        <w:rPr>
          <w:rFonts w:ascii="Arial" w:hAnsi="Arial" w:cs="Arial"/>
          <w:snapToGrid w:val="0"/>
        </w:rPr>
        <w:t>океане, Программы МОК по сертификации готовности к цунами и Коалиции по поощрению готовности к цунами</w:t>
      </w:r>
      <w:r w:rsidR="00846999" w:rsidRPr="00846999">
        <w:rPr>
          <w:rFonts w:ascii="Arial" w:hAnsi="Arial" w:cs="Arial"/>
          <w:snapToGrid w:val="0"/>
        </w:rPr>
        <w:t>.</w:t>
      </w:r>
    </w:p>
    <w:p w14:paraId="7760635E" w14:textId="7723A8CF" w:rsidR="00A40455" w:rsidRPr="004D34FB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b/>
          <w:snapToGrid w:val="0"/>
        </w:rPr>
        <w:t>Группа рекомендовала</w:t>
      </w:r>
      <w:r w:rsidRPr="004D34FB">
        <w:rPr>
          <w:rFonts w:ascii="Arial" w:hAnsi="Arial" w:cs="Arial"/>
          <w:snapToGrid w:val="0"/>
        </w:rPr>
        <w:t xml:space="preserve"> Ассамблее МОК на своей 33-й сессии в 2025 г. </w:t>
      </w:r>
      <w:proofErr w:type="gramStart"/>
      <w:r w:rsidRPr="004D34FB">
        <w:rPr>
          <w:rFonts w:ascii="Arial" w:hAnsi="Arial" w:cs="Arial"/>
          <w:snapToGrid w:val="0"/>
        </w:rPr>
        <w:t>просить</w:t>
      </w:r>
      <w:proofErr w:type="gramEnd"/>
      <w:r w:rsidRPr="004D34FB">
        <w:rPr>
          <w:rFonts w:ascii="Arial" w:hAnsi="Arial" w:cs="Arial"/>
          <w:snapToGrid w:val="0"/>
        </w:rPr>
        <w:t xml:space="preserve"> Секретариат МОК:</w:t>
      </w:r>
    </w:p>
    <w:p w14:paraId="35E0D6B9" w14:textId="718202E2" w:rsidR="00A4045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</w:rPr>
        <w:t>информировать государства-члены о возможности использования комплекта методических материалов по вопросам готовности к цунами посредством направления циркулярного письма МОК в адрес национальных контактов по цунами и национальных советов по обеспечению готовности к цунами, а также путем его широкого распространения в качестве приложения к разработанным ЮНЕСКО/МОК Типовым руководящим принципам участия в Программе сертификации готовности к цунами (IOC</w:t>
      </w:r>
      <w:r w:rsidR="00197AC3">
        <w:rPr>
          <w:rFonts w:ascii="Arial" w:hAnsi="Arial" w:cs="Arial"/>
          <w:lang w:val="fr-FR"/>
        </w:rPr>
        <w:t> </w:t>
      </w:r>
      <w:r w:rsidRPr="004D34FB">
        <w:rPr>
          <w:rFonts w:ascii="Arial" w:hAnsi="Arial" w:cs="Arial"/>
        </w:rPr>
        <w:t>MG</w:t>
      </w:r>
      <w:r w:rsidR="00197AC3">
        <w:rPr>
          <w:rFonts w:ascii="Arial" w:hAnsi="Arial" w:cs="Arial"/>
          <w:lang w:val="fr-FR"/>
        </w:rPr>
        <w:t> </w:t>
      </w:r>
      <w:r w:rsidRPr="004D34FB">
        <w:rPr>
          <w:rFonts w:ascii="Arial" w:hAnsi="Arial" w:cs="Arial"/>
        </w:rPr>
        <w:t>74);</w:t>
      </w:r>
    </w:p>
    <w:p w14:paraId="0D9A4031" w14:textId="77777777" w:rsidR="00A40455" w:rsidRPr="00846999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распространить среди государств-членов окончательный вариант приведенного ниже базового продукта/шаблона предупреждения о цунами для использования радиолюбителями в качестве инструкции;</w:t>
      </w:r>
    </w:p>
    <w:p w14:paraId="25099CF7" w14:textId="7CD77FE6" w:rsidR="00846999" w:rsidRPr="00197AC3" w:rsidRDefault="00846999" w:rsidP="00846999">
      <w:pPr>
        <w:snapToGrid w:val="0"/>
        <w:spacing w:after="240" w:line="240" w:lineRule="auto"/>
        <w:ind w:left="851"/>
        <w:jc w:val="both"/>
        <w:rPr>
          <w:rFonts w:ascii="Arial" w:eastAsia="SimSun" w:hAnsi="Arial" w:cs="Arial"/>
          <w:snapToGrid w:val="0"/>
        </w:rPr>
      </w:pPr>
      <w:r w:rsidRPr="00B16BD5">
        <w:rPr>
          <w:rFonts w:ascii="Arial" w:eastAsia="SimSun" w:hAnsi="Arial" w:cs="Arial"/>
          <w:noProof/>
          <w:snapToGrid w:val="0"/>
          <w:lang w:val="en-GB"/>
        </w:rPr>
        <w:drawing>
          <wp:inline distT="0" distB="0" distL="0" distR="0" wp14:anchorId="7252A864" wp14:editId="6812FEAF">
            <wp:extent cx="5543812" cy="590309"/>
            <wp:effectExtent l="0" t="0" r="0" b="635"/>
            <wp:docPr id="666896947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96947" name="Picture 1" descr="A black background with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64" cy="608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9A634" w14:textId="77777777" w:rsidR="00197AC3" w:rsidRPr="00197AC3" w:rsidRDefault="00197AC3" w:rsidP="00197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240" w:line="240" w:lineRule="auto"/>
        <w:ind w:left="993"/>
        <w:jc w:val="both"/>
        <w:rPr>
          <w:rFonts w:ascii="Arial" w:hAnsi="Arial" w:cs="Arial"/>
          <w:i/>
          <w:iCs/>
        </w:rPr>
      </w:pPr>
      <w:r w:rsidRPr="00197AC3">
        <w:rPr>
          <w:rFonts w:ascii="Arial" w:hAnsi="Arial" w:cs="Arial"/>
          <w:i/>
          <w:iCs/>
        </w:rPr>
        <w:t xml:space="preserve">В </w:t>
      </w:r>
      <w:r w:rsidRPr="00197AC3">
        <w:rPr>
          <w:rFonts w:ascii="Arial" w:hAnsi="Arial" w:cs="Arial"/>
          <w:i/>
          <w:iCs/>
          <w:color w:val="FF0000"/>
        </w:rPr>
        <w:t>_(</w:t>
      </w:r>
      <w:proofErr w:type="gramStart"/>
      <w:r w:rsidRPr="00197AC3">
        <w:rPr>
          <w:rFonts w:ascii="Arial" w:hAnsi="Arial" w:cs="Arial"/>
          <w:i/>
          <w:iCs/>
          <w:color w:val="FF0000"/>
        </w:rPr>
        <w:t>ХХ:ХХ</w:t>
      </w:r>
      <w:proofErr w:type="gramEnd"/>
      <w:r w:rsidRPr="00197AC3">
        <w:rPr>
          <w:rFonts w:ascii="Arial" w:hAnsi="Arial" w:cs="Arial"/>
          <w:i/>
          <w:iCs/>
          <w:color w:val="FF0000"/>
        </w:rPr>
        <w:t>)_</w:t>
      </w:r>
      <w:r w:rsidRPr="00197AC3">
        <w:rPr>
          <w:rFonts w:ascii="Arial" w:hAnsi="Arial" w:cs="Arial"/>
          <w:i/>
          <w:iCs/>
        </w:rPr>
        <w:t xml:space="preserve"> по местному времени в точке с координатами </w:t>
      </w:r>
      <w:r w:rsidRPr="00197AC3">
        <w:rPr>
          <w:rFonts w:ascii="Arial" w:hAnsi="Arial" w:cs="Arial"/>
          <w:i/>
          <w:iCs/>
          <w:color w:val="FF0000"/>
        </w:rPr>
        <w:t>_широта/долгота_</w:t>
      </w:r>
      <w:r w:rsidRPr="00197AC3">
        <w:rPr>
          <w:rFonts w:ascii="Arial" w:hAnsi="Arial" w:cs="Arial"/>
          <w:i/>
          <w:iCs/>
        </w:rPr>
        <w:t xml:space="preserve"> на глубине </w:t>
      </w:r>
      <w:r w:rsidRPr="00197AC3">
        <w:rPr>
          <w:rFonts w:ascii="Arial" w:hAnsi="Arial" w:cs="Arial"/>
          <w:i/>
          <w:iCs/>
          <w:color w:val="FF0000"/>
        </w:rPr>
        <w:t>_Х_</w:t>
      </w:r>
      <w:r w:rsidRPr="00197AC3">
        <w:rPr>
          <w:rFonts w:ascii="Arial" w:hAnsi="Arial" w:cs="Arial"/>
          <w:i/>
          <w:iCs/>
        </w:rPr>
        <w:t xml:space="preserve"> км произошло землетрясение силой </w:t>
      </w:r>
      <w:r w:rsidRPr="00197AC3">
        <w:rPr>
          <w:rFonts w:ascii="Arial" w:hAnsi="Arial" w:cs="Arial"/>
          <w:i/>
          <w:iCs/>
          <w:color w:val="FF0000"/>
        </w:rPr>
        <w:t>_Х.Х_</w:t>
      </w:r>
      <w:r w:rsidRPr="00197AC3">
        <w:rPr>
          <w:rFonts w:ascii="Arial" w:hAnsi="Arial" w:cs="Arial"/>
          <w:i/>
          <w:iCs/>
        </w:rPr>
        <w:t xml:space="preserve"> баллов, в </w:t>
      </w:r>
      <w:r w:rsidRPr="00197AC3">
        <w:rPr>
          <w:rFonts w:ascii="Arial" w:hAnsi="Arial" w:cs="Arial"/>
          <w:i/>
          <w:iCs/>
          <w:color w:val="FF0000"/>
        </w:rPr>
        <w:t>_Х_</w:t>
      </w:r>
      <w:r w:rsidRPr="00197AC3">
        <w:rPr>
          <w:rFonts w:ascii="Arial" w:hAnsi="Arial" w:cs="Arial"/>
          <w:i/>
          <w:iCs/>
        </w:rPr>
        <w:t xml:space="preserve"> км от </w:t>
      </w:r>
      <w:proofErr w:type="gramStart"/>
      <w:r w:rsidRPr="00197AC3">
        <w:rPr>
          <w:rFonts w:ascii="Arial" w:hAnsi="Arial" w:cs="Arial"/>
          <w:i/>
          <w:iCs/>
          <w:color w:val="FF0000"/>
        </w:rPr>
        <w:t>_(</w:t>
      </w:r>
      <w:proofErr w:type="gramEnd"/>
      <w:r w:rsidRPr="00197AC3">
        <w:rPr>
          <w:rFonts w:ascii="Arial" w:hAnsi="Arial" w:cs="Arial"/>
          <w:i/>
          <w:iCs/>
          <w:color w:val="FF0000"/>
        </w:rPr>
        <w:t xml:space="preserve">название населенного </w:t>
      </w:r>
      <w:proofErr w:type="gramStart"/>
      <w:r w:rsidRPr="00197AC3">
        <w:rPr>
          <w:rFonts w:ascii="Arial" w:hAnsi="Arial" w:cs="Arial"/>
          <w:i/>
          <w:iCs/>
          <w:color w:val="FF0000"/>
        </w:rPr>
        <w:t>пункта)_</w:t>
      </w:r>
      <w:proofErr w:type="gramEnd"/>
      <w:r w:rsidRPr="00197AC3">
        <w:rPr>
          <w:rFonts w:ascii="Arial" w:hAnsi="Arial" w:cs="Arial"/>
          <w:i/>
          <w:iCs/>
        </w:rPr>
        <w:t xml:space="preserve">. НЦПЦ направил предупреждение о цунами </w:t>
      </w:r>
      <w:proofErr w:type="gramStart"/>
      <w:r w:rsidRPr="00197AC3">
        <w:rPr>
          <w:rFonts w:ascii="Arial" w:hAnsi="Arial" w:cs="Arial"/>
          <w:i/>
          <w:iCs/>
          <w:color w:val="FF0000"/>
        </w:rPr>
        <w:t>_(</w:t>
      </w:r>
      <w:proofErr w:type="gramEnd"/>
      <w:r w:rsidRPr="00197AC3">
        <w:rPr>
          <w:rFonts w:ascii="Arial" w:hAnsi="Arial" w:cs="Arial"/>
          <w:i/>
          <w:iCs/>
          <w:color w:val="FF0000"/>
        </w:rPr>
        <w:t xml:space="preserve">уровень </w:t>
      </w:r>
      <w:proofErr w:type="gramStart"/>
      <w:r w:rsidRPr="00197AC3">
        <w:rPr>
          <w:rFonts w:ascii="Arial" w:hAnsi="Arial" w:cs="Arial"/>
          <w:i/>
          <w:iCs/>
          <w:color w:val="FF0000"/>
        </w:rPr>
        <w:t>опасности)_</w:t>
      </w:r>
      <w:proofErr w:type="gramEnd"/>
      <w:r w:rsidRPr="00197AC3">
        <w:rPr>
          <w:rFonts w:ascii="Arial" w:hAnsi="Arial" w:cs="Arial"/>
          <w:i/>
          <w:iCs/>
        </w:rPr>
        <w:t xml:space="preserve"> в </w:t>
      </w:r>
      <w:proofErr w:type="gramStart"/>
      <w:r w:rsidRPr="00197AC3">
        <w:rPr>
          <w:rFonts w:ascii="Arial" w:hAnsi="Arial" w:cs="Arial"/>
          <w:i/>
          <w:iCs/>
          <w:color w:val="FF0000"/>
        </w:rPr>
        <w:t>_(</w:t>
      </w:r>
      <w:proofErr w:type="gramEnd"/>
      <w:r w:rsidRPr="00197AC3">
        <w:rPr>
          <w:rFonts w:ascii="Arial" w:hAnsi="Arial" w:cs="Arial"/>
          <w:i/>
          <w:iCs/>
          <w:color w:val="FF0000"/>
        </w:rPr>
        <w:t xml:space="preserve">название населенного </w:t>
      </w:r>
      <w:proofErr w:type="gramStart"/>
      <w:r w:rsidRPr="00197AC3">
        <w:rPr>
          <w:rFonts w:ascii="Arial" w:hAnsi="Arial" w:cs="Arial"/>
          <w:i/>
          <w:iCs/>
          <w:color w:val="FF0000"/>
        </w:rPr>
        <w:t>пункта)_</w:t>
      </w:r>
      <w:proofErr w:type="gramEnd"/>
      <w:r w:rsidRPr="00197AC3">
        <w:rPr>
          <w:rFonts w:ascii="Arial" w:hAnsi="Arial" w:cs="Arial"/>
          <w:i/>
          <w:iCs/>
        </w:rPr>
        <w:t>.</w:t>
      </w:r>
    </w:p>
    <w:p w14:paraId="39E4F9E6" w14:textId="77777777" w:rsidR="00A4045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</w:rPr>
        <w:t>завершить разработку плана мероприятий Коалиции по поощрению готовности к цунами в сотрудничестве с председателем Коалиции по поощрению готовности к цунами, партнерами Коалиции, «послами» или аналогичными лицами, а также с сопредседателем Коалиции;</w:t>
      </w:r>
    </w:p>
    <w:p w14:paraId="2AA1EE20" w14:textId="702DA469" w:rsidR="005B21D5" w:rsidRPr="004D34FB" w:rsidRDefault="00A40455" w:rsidP="00197AC3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4D34FB">
        <w:rPr>
          <w:rFonts w:ascii="Arial" w:hAnsi="Arial" w:cs="Arial"/>
          <w:snapToGrid w:val="0"/>
        </w:rPr>
        <w:t>направить приглашения предлагаемым партнерам Коалиции и «послам» или аналогичным лицам, а также сопредседателю Коалиции и в максимально короткие сроки обратиться за необходимыми ресурсами</w:t>
      </w:r>
      <w:r w:rsidR="00846999" w:rsidRPr="00846999">
        <w:rPr>
          <w:rFonts w:ascii="Arial" w:hAnsi="Arial" w:cs="Arial"/>
          <w:snapToGrid w:val="0"/>
        </w:rPr>
        <w:t>.</w:t>
      </w:r>
    </w:p>
    <w:p w14:paraId="460F0378" w14:textId="7F579116" w:rsidR="00A40455" w:rsidRPr="005D0ECA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hAnsi="Arial" w:cs="Arial"/>
        </w:rPr>
      </w:pPr>
      <w:r w:rsidRPr="004D34FB">
        <w:rPr>
          <w:rFonts w:ascii="Arial" w:hAnsi="Arial" w:cs="Arial"/>
          <w:b/>
        </w:rPr>
        <w:t>Группа рекомендовала</w:t>
      </w:r>
      <w:r w:rsidRPr="004D34FB">
        <w:rPr>
          <w:rFonts w:ascii="Arial" w:hAnsi="Arial" w:cs="Arial"/>
        </w:rPr>
        <w:t xml:space="preserve"> Ассамблее МОК на ее 33-й сессии в 2025 г. продлить срок полномочий ЦГ-ЛПГ и ЦГ-НЦ МГК, а также утвердить обновленный круг ведения целевой группы по ликвидации последствий стихийных бедствий и обеспечению готовности к ним, который приводится в </w:t>
      </w:r>
      <w:r w:rsidRPr="004D34FB">
        <w:rPr>
          <w:rFonts w:ascii="Arial" w:hAnsi="Arial" w:cs="Arial"/>
          <w:b/>
        </w:rPr>
        <w:t>приложении 1</w:t>
      </w:r>
      <w:r w:rsidRPr="004D34FB">
        <w:rPr>
          <w:rFonts w:ascii="Arial" w:hAnsi="Arial" w:cs="Arial"/>
        </w:rPr>
        <w:t>.</w:t>
      </w:r>
    </w:p>
    <w:sectPr w:rsidR="00A40455" w:rsidRPr="005D0ECA" w:rsidSect="005D0ECA">
      <w:headerReference w:type="even" r:id="rId17"/>
      <w:headerReference w:type="default" r:id="rId18"/>
      <w:headerReference w:type="first" r:id="rId19"/>
      <w:pgSz w:w="11906" w:h="16838" w:code="9"/>
      <w:pgMar w:top="1418" w:right="1134" w:bottom="1134" w:left="1134" w:header="68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9FAA" w14:textId="77777777" w:rsidR="00A5097F" w:rsidRDefault="00A5097F" w:rsidP="00737EF6">
      <w:pPr>
        <w:spacing w:after="0" w:line="240" w:lineRule="auto"/>
      </w:pPr>
      <w:r>
        <w:separator/>
      </w:r>
    </w:p>
  </w:endnote>
  <w:endnote w:type="continuationSeparator" w:id="0">
    <w:p w14:paraId="08948132" w14:textId="77777777" w:rsidR="00A5097F" w:rsidRDefault="00A5097F" w:rsidP="0073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5016" w14:textId="77777777" w:rsidR="00A5097F" w:rsidRDefault="00A5097F" w:rsidP="00737EF6">
      <w:pPr>
        <w:spacing w:after="0" w:line="240" w:lineRule="auto"/>
      </w:pPr>
      <w:r>
        <w:separator/>
      </w:r>
    </w:p>
  </w:footnote>
  <w:footnote w:type="continuationSeparator" w:id="0">
    <w:p w14:paraId="53C7A949" w14:textId="77777777" w:rsidR="00A5097F" w:rsidRDefault="00A5097F" w:rsidP="0073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6DABE" w14:textId="07305EA8" w:rsidR="008D0515" w:rsidRPr="005D0ECA" w:rsidRDefault="0030792A">
    <w:pPr>
      <w:pStyle w:val="Header"/>
      <w:rPr>
        <w:rFonts w:asciiTheme="minorBidi" w:hAnsiTheme="minorBidi"/>
        <w:lang w:val="en-US"/>
      </w:rPr>
    </w:pPr>
    <w:r w:rsidRPr="005D0ECA">
      <w:rPr>
        <w:rFonts w:asciiTheme="minorBidi" w:hAnsiTheme="minorBidi"/>
        <w:lang w:val="en-US"/>
      </w:rPr>
      <w:t>IOC/TOWS-WG-XVIII</w:t>
    </w:r>
  </w:p>
  <w:p w14:paraId="644266BD" w14:textId="30A707BD" w:rsidR="008D0515" w:rsidRPr="005D0ECA" w:rsidRDefault="0030792A">
    <w:pPr>
      <w:rPr>
        <w:rFonts w:asciiTheme="minorBidi" w:hAnsiTheme="minorBidi"/>
        <w:lang w:val="en-US"/>
      </w:rPr>
    </w:pPr>
    <w:r w:rsidRPr="005D0ECA">
      <w:rPr>
        <w:rFonts w:asciiTheme="minorBidi" w:hAnsiTheme="minorBidi"/>
        <w:lang w:val="en-US"/>
      </w:rPr>
      <w:t xml:space="preserve">Executive Summary – page </w:t>
    </w:r>
    <w:r w:rsidR="00197AC3" w:rsidRPr="00197AC3">
      <w:rPr>
        <w:rFonts w:asciiTheme="minorBidi" w:hAnsiTheme="minorBidi"/>
        <w:lang w:val="en-US"/>
      </w:rPr>
      <w:fldChar w:fldCharType="begin"/>
    </w:r>
    <w:r w:rsidR="00197AC3" w:rsidRPr="00197AC3">
      <w:rPr>
        <w:rFonts w:asciiTheme="minorBidi" w:hAnsiTheme="minorBidi"/>
        <w:lang w:val="en-US"/>
      </w:rPr>
      <w:instrText>PAGE   \* MERGEFORMAT</w:instrText>
    </w:r>
    <w:r w:rsidR="00197AC3" w:rsidRPr="00197AC3">
      <w:rPr>
        <w:rFonts w:asciiTheme="minorBidi" w:hAnsiTheme="minorBidi"/>
        <w:lang w:val="en-US"/>
      </w:rPr>
      <w:fldChar w:fldCharType="separate"/>
    </w:r>
    <w:r w:rsidR="00197AC3" w:rsidRPr="00197AC3">
      <w:rPr>
        <w:rFonts w:asciiTheme="minorBidi" w:hAnsiTheme="minorBidi"/>
        <w:lang w:val="en-US"/>
      </w:rPr>
      <w:t>1</w:t>
    </w:r>
    <w:r w:rsidR="00197AC3" w:rsidRPr="00197AC3">
      <w:rPr>
        <w:rFonts w:asciiTheme="minorBidi" w:hAnsiTheme="minorBidi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0AA5" w14:textId="77777777" w:rsidR="00197AC3" w:rsidRPr="005D0ECA" w:rsidRDefault="00197AC3" w:rsidP="00197AC3">
    <w:pPr>
      <w:pStyle w:val="Header"/>
      <w:ind w:left="6521"/>
      <w:rPr>
        <w:rFonts w:asciiTheme="minorBidi" w:hAnsiTheme="minorBidi"/>
        <w:lang w:val="en-US"/>
      </w:rPr>
    </w:pPr>
    <w:r w:rsidRPr="005D0ECA">
      <w:rPr>
        <w:rFonts w:asciiTheme="minorBidi" w:hAnsiTheme="minorBidi"/>
        <w:lang w:val="en-US"/>
      </w:rPr>
      <w:t>IOC/TOWS-WG-XVIII</w:t>
    </w:r>
  </w:p>
  <w:p w14:paraId="17A57FF1" w14:textId="391D3B8A" w:rsidR="008D0515" w:rsidRPr="00197AC3" w:rsidRDefault="00197AC3" w:rsidP="00197AC3">
    <w:pPr>
      <w:ind w:left="6521"/>
      <w:rPr>
        <w:rFonts w:asciiTheme="minorBidi" w:hAnsiTheme="minorBidi"/>
        <w:lang w:val="en-US"/>
      </w:rPr>
    </w:pPr>
    <w:r w:rsidRPr="005D0ECA">
      <w:rPr>
        <w:rFonts w:asciiTheme="minorBidi" w:hAnsiTheme="minorBidi"/>
        <w:lang w:val="en-US"/>
      </w:rPr>
      <w:t xml:space="preserve">Executive Summary – page </w:t>
    </w:r>
    <w:r w:rsidRPr="00197AC3">
      <w:rPr>
        <w:rFonts w:asciiTheme="minorBidi" w:hAnsiTheme="minorBidi"/>
        <w:lang w:val="en-US"/>
      </w:rPr>
      <w:fldChar w:fldCharType="begin"/>
    </w:r>
    <w:r w:rsidRPr="00197AC3">
      <w:rPr>
        <w:rFonts w:asciiTheme="minorBidi" w:hAnsiTheme="minorBidi"/>
        <w:lang w:val="en-US"/>
      </w:rPr>
      <w:instrText>PAGE   \* MERGEFORMAT</w:instrText>
    </w:r>
    <w:r w:rsidRPr="00197AC3">
      <w:rPr>
        <w:rFonts w:asciiTheme="minorBidi" w:hAnsiTheme="minorBidi"/>
        <w:lang w:val="en-US"/>
      </w:rPr>
      <w:fldChar w:fldCharType="separate"/>
    </w:r>
    <w:r>
      <w:rPr>
        <w:rFonts w:asciiTheme="minorBidi" w:hAnsiTheme="minorBidi"/>
        <w:lang w:val="en-US"/>
      </w:rPr>
      <w:t>2</w:t>
    </w:r>
    <w:r w:rsidRPr="00197AC3">
      <w:rPr>
        <w:rFonts w:asciiTheme="minorBidi" w:hAnsiTheme="minorBidi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C5BF" w14:textId="124DCAA1" w:rsidR="008D0515" w:rsidRPr="004E4195" w:rsidRDefault="0030792A" w:rsidP="004E4195">
    <w:pPr>
      <w:pStyle w:val="Header"/>
      <w:ind w:left="7230"/>
      <w:rPr>
        <w:rFonts w:ascii="Arial" w:hAnsi="Arial" w:cs="Arial"/>
        <w:lang w:val="en-US"/>
      </w:rPr>
    </w:pPr>
    <w:r w:rsidRPr="004E4195">
      <w:rPr>
        <w:rFonts w:ascii="Arial" w:hAnsi="Arial"/>
        <w:lang w:val="en-US"/>
      </w:rPr>
      <w:t>IOC/TOWS-WG-XVIII</w:t>
    </w:r>
    <w:r w:rsidR="004E4195" w:rsidRPr="004E4195">
      <w:rPr>
        <w:rFonts w:ascii="Arial" w:hAnsi="Arial"/>
        <w:lang w:val="en-US"/>
      </w:rPr>
      <w:br/>
    </w:r>
    <w:r w:rsidR="004E4195" w:rsidRPr="004E4195">
      <w:rPr>
        <w:rFonts w:asciiTheme="minorBidi" w:hAnsiTheme="minorBidi"/>
        <w:lang w:val="en-US"/>
      </w:rPr>
      <w:t>Executive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1209"/>
    <w:multiLevelType w:val="hybridMultilevel"/>
    <w:tmpl w:val="2B7A700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7793DFB"/>
    <w:multiLevelType w:val="hybridMultilevel"/>
    <w:tmpl w:val="A680EC52"/>
    <w:lvl w:ilvl="0" w:tplc="578061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5744"/>
    <w:multiLevelType w:val="singleLevel"/>
    <w:tmpl w:val="4ED6F432"/>
    <w:lvl w:ilvl="0">
      <w:start w:val="1"/>
      <w:numFmt w:val="lowerLetter"/>
      <w:lvlText w:val="%1)"/>
      <w:legacy w:legacy="1" w:legacySpace="113" w:legacyIndent="567"/>
      <w:lvlJc w:val="left"/>
      <w:pPr>
        <w:ind w:left="1248" w:hanging="567"/>
      </w:pPr>
    </w:lvl>
  </w:abstractNum>
  <w:abstractNum w:abstractNumId="3" w15:restartNumberingAfterBreak="0">
    <w:nsid w:val="1D63184D"/>
    <w:multiLevelType w:val="multilevel"/>
    <w:tmpl w:val="6962577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6D61B7F"/>
    <w:multiLevelType w:val="hybridMultilevel"/>
    <w:tmpl w:val="3C420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4906"/>
    <w:multiLevelType w:val="hybridMultilevel"/>
    <w:tmpl w:val="6CB86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D3866"/>
    <w:multiLevelType w:val="hybridMultilevel"/>
    <w:tmpl w:val="57FE47EC"/>
    <w:lvl w:ilvl="0" w:tplc="332EEF7E">
      <w:start w:val="3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5B3B"/>
    <w:multiLevelType w:val="multilevel"/>
    <w:tmpl w:val="5F64E28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FC08C2"/>
    <w:multiLevelType w:val="hybridMultilevel"/>
    <w:tmpl w:val="47469484"/>
    <w:lvl w:ilvl="0" w:tplc="F79CC19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61052F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65EF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0266DD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C6E3D8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A666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D2AD6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7808E6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9C49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A63A9"/>
    <w:multiLevelType w:val="hybridMultilevel"/>
    <w:tmpl w:val="AAEA7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D1C85"/>
    <w:multiLevelType w:val="hybridMultilevel"/>
    <w:tmpl w:val="7FEC0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502"/>
    <w:multiLevelType w:val="hybridMultilevel"/>
    <w:tmpl w:val="61381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502A7"/>
    <w:multiLevelType w:val="hybridMultilevel"/>
    <w:tmpl w:val="51EE8688"/>
    <w:lvl w:ilvl="0" w:tplc="2B0CE2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48BA3A62"/>
    <w:multiLevelType w:val="multilevel"/>
    <w:tmpl w:val="E78C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7702F"/>
    <w:multiLevelType w:val="hybridMultilevel"/>
    <w:tmpl w:val="37147F9A"/>
    <w:lvl w:ilvl="0" w:tplc="57806148">
      <w:start w:val="2"/>
      <w:numFmt w:val="bullet"/>
      <w:lvlText w:val="-"/>
      <w:lvlJc w:val="left"/>
      <w:pPr>
        <w:ind w:left="78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D13261A"/>
    <w:multiLevelType w:val="hybridMultilevel"/>
    <w:tmpl w:val="CBF4E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E5292"/>
    <w:multiLevelType w:val="hybridMultilevel"/>
    <w:tmpl w:val="EF5C2F06"/>
    <w:lvl w:ilvl="0" w:tplc="6A76A9DC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E945CC4"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4C6AEDE2">
      <w:numFmt w:val="bullet"/>
      <w:lvlText w:val="•"/>
      <w:lvlJc w:val="left"/>
      <w:pPr>
        <w:ind w:left="1949" w:hanging="360"/>
      </w:pPr>
      <w:rPr>
        <w:rFonts w:hint="default"/>
      </w:rPr>
    </w:lvl>
    <w:lvl w:ilvl="3" w:tplc="A85C634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FAC63890">
      <w:numFmt w:val="bullet"/>
      <w:lvlText w:val="•"/>
      <w:lvlJc w:val="left"/>
      <w:pPr>
        <w:ind w:left="3778" w:hanging="360"/>
      </w:pPr>
      <w:rPr>
        <w:rFonts w:hint="default"/>
      </w:rPr>
    </w:lvl>
    <w:lvl w:ilvl="5" w:tplc="33884088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0C92B328">
      <w:numFmt w:val="bullet"/>
      <w:lvlText w:val="•"/>
      <w:lvlJc w:val="left"/>
      <w:pPr>
        <w:ind w:left="5607" w:hanging="360"/>
      </w:pPr>
      <w:rPr>
        <w:rFonts w:hint="default"/>
      </w:rPr>
    </w:lvl>
    <w:lvl w:ilvl="7" w:tplc="ABD472FA"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449450A4"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17" w15:restartNumberingAfterBreak="0">
    <w:nsid w:val="4FCB584B"/>
    <w:multiLevelType w:val="hybridMultilevel"/>
    <w:tmpl w:val="09427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370BA2"/>
    <w:multiLevelType w:val="hybridMultilevel"/>
    <w:tmpl w:val="F9027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856B9"/>
    <w:multiLevelType w:val="hybridMultilevel"/>
    <w:tmpl w:val="4F8ABAF0"/>
    <w:lvl w:ilvl="0" w:tplc="32AC446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" w:hint="default"/>
      </w:rPr>
    </w:lvl>
    <w:lvl w:ilvl="1" w:tplc="850CB13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56D6B6C"/>
    <w:multiLevelType w:val="hybridMultilevel"/>
    <w:tmpl w:val="A8FE8248"/>
    <w:lvl w:ilvl="0" w:tplc="72AA4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6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2F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6D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A3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6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49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D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C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0E30A9"/>
    <w:multiLevelType w:val="hybridMultilevel"/>
    <w:tmpl w:val="ED1265AE"/>
    <w:lvl w:ilvl="0" w:tplc="83689A54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91BAC"/>
    <w:multiLevelType w:val="multilevel"/>
    <w:tmpl w:val="878E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4668B"/>
    <w:multiLevelType w:val="hybridMultilevel"/>
    <w:tmpl w:val="39E09670"/>
    <w:lvl w:ilvl="0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61FD02C1"/>
    <w:multiLevelType w:val="hybridMultilevel"/>
    <w:tmpl w:val="858817E2"/>
    <w:lvl w:ilvl="0" w:tplc="578061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D231D"/>
    <w:multiLevelType w:val="hybridMultilevel"/>
    <w:tmpl w:val="91E43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A576E"/>
    <w:multiLevelType w:val="hybridMultilevel"/>
    <w:tmpl w:val="B0461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0206C"/>
    <w:multiLevelType w:val="hybridMultilevel"/>
    <w:tmpl w:val="FCE45B32"/>
    <w:lvl w:ilvl="0" w:tplc="4AE2166A">
      <w:start w:val="1"/>
      <w:numFmt w:val="lowerRoman"/>
      <w:lvlText w:val="(%1)"/>
      <w:lvlJc w:val="right"/>
      <w:pPr>
        <w:ind w:left="720" w:hanging="360"/>
      </w:pPr>
      <w:rPr>
        <w:rFonts w:hint="default"/>
        <w:w w:val="99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E3883"/>
    <w:multiLevelType w:val="hybridMultilevel"/>
    <w:tmpl w:val="82F22282"/>
    <w:lvl w:ilvl="0" w:tplc="4EC2E8EC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587CF21E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2" w:tplc="292E3EC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26480B4C">
      <w:numFmt w:val="bullet"/>
      <w:lvlText w:val="•"/>
      <w:lvlJc w:val="left"/>
      <w:pPr>
        <w:ind w:left="2208" w:hanging="360"/>
      </w:pPr>
      <w:rPr>
        <w:rFonts w:hint="default"/>
      </w:rPr>
    </w:lvl>
    <w:lvl w:ilvl="4" w:tplc="B2E45D34">
      <w:numFmt w:val="bullet"/>
      <w:lvlText w:val="•"/>
      <w:lvlJc w:val="left"/>
      <w:pPr>
        <w:ind w:left="3216" w:hanging="360"/>
      </w:pPr>
      <w:rPr>
        <w:rFonts w:hint="default"/>
      </w:rPr>
    </w:lvl>
    <w:lvl w:ilvl="5" w:tplc="096A9590">
      <w:numFmt w:val="bullet"/>
      <w:lvlText w:val="•"/>
      <w:lvlJc w:val="left"/>
      <w:pPr>
        <w:ind w:left="4224" w:hanging="360"/>
      </w:pPr>
      <w:rPr>
        <w:rFonts w:hint="default"/>
      </w:rPr>
    </w:lvl>
    <w:lvl w:ilvl="6" w:tplc="52EA341A">
      <w:numFmt w:val="bullet"/>
      <w:lvlText w:val="•"/>
      <w:lvlJc w:val="left"/>
      <w:pPr>
        <w:ind w:left="5233" w:hanging="360"/>
      </w:pPr>
      <w:rPr>
        <w:rFonts w:hint="default"/>
      </w:rPr>
    </w:lvl>
    <w:lvl w:ilvl="7" w:tplc="1004ECFA">
      <w:numFmt w:val="bullet"/>
      <w:lvlText w:val="•"/>
      <w:lvlJc w:val="left"/>
      <w:pPr>
        <w:ind w:left="6241" w:hanging="360"/>
      </w:pPr>
      <w:rPr>
        <w:rFonts w:hint="default"/>
      </w:rPr>
    </w:lvl>
    <w:lvl w:ilvl="8" w:tplc="E3829AC0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29" w15:restartNumberingAfterBreak="0">
    <w:nsid w:val="7B472F11"/>
    <w:multiLevelType w:val="multilevel"/>
    <w:tmpl w:val="CAA6D6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E1B286F"/>
    <w:multiLevelType w:val="hybridMultilevel"/>
    <w:tmpl w:val="E9922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639">
    <w:abstractNumId w:val="29"/>
  </w:num>
  <w:num w:numId="2" w16cid:durableId="743526439">
    <w:abstractNumId w:val="19"/>
  </w:num>
  <w:num w:numId="3" w16cid:durableId="1748846677">
    <w:abstractNumId w:val="3"/>
  </w:num>
  <w:num w:numId="4" w16cid:durableId="1695770385">
    <w:abstractNumId w:val="24"/>
  </w:num>
  <w:num w:numId="5" w16cid:durableId="25639160">
    <w:abstractNumId w:val="21"/>
  </w:num>
  <w:num w:numId="6" w16cid:durableId="1672290254">
    <w:abstractNumId w:val="2"/>
  </w:num>
  <w:num w:numId="7" w16cid:durableId="1404910789">
    <w:abstractNumId w:val="28"/>
  </w:num>
  <w:num w:numId="8" w16cid:durableId="1684092376">
    <w:abstractNumId w:val="16"/>
  </w:num>
  <w:num w:numId="9" w16cid:durableId="2012026438">
    <w:abstractNumId w:val="27"/>
  </w:num>
  <w:num w:numId="10" w16cid:durableId="1839344981">
    <w:abstractNumId w:val="22"/>
  </w:num>
  <w:num w:numId="11" w16cid:durableId="1403525914">
    <w:abstractNumId w:val="13"/>
  </w:num>
  <w:num w:numId="12" w16cid:durableId="2062750167">
    <w:abstractNumId w:val="20"/>
  </w:num>
  <w:num w:numId="13" w16cid:durableId="1291130068">
    <w:abstractNumId w:val="12"/>
  </w:num>
  <w:num w:numId="14" w16cid:durableId="1337801306">
    <w:abstractNumId w:val="4"/>
  </w:num>
  <w:num w:numId="15" w16cid:durableId="1121847030">
    <w:abstractNumId w:val="7"/>
  </w:num>
  <w:num w:numId="16" w16cid:durableId="943612068">
    <w:abstractNumId w:val="18"/>
  </w:num>
  <w:num w:numId="17" w16cid:durableId="1092315763">
    <w:abstractNumId w:val="30"/>
  </w:num>
  <w:num w:numId="18" w16cid:durableId="421880987">
    <w:abstractNumId w:val="1"/>
  </w:num>
  <w:num w:numId="19" w16cid:durableId="2130586811">
    <w:abstractNumId w:val="14"/>
  </w:num>
  <w:num w:numId="20" w16cid:durableId="1957788447">
    <w:abstractNumId w:val="5"/>
  </w:num>
  <w:num w:numId="21" w16cid:durableId="509031190">
    <w:abstractNumId w:val="0"/>
  </w:num>
  <w:num w:numId="22" w16cid:durableId="191312131">
    <w:abstractNumId w:val="26"/>
  </w:num>
  <w:num w:numId="23" w16cid:durableId="1407607989">
    <w:abstractNumId w:val="23"/>
  </w:num>
  <w:num w:numId="24" w16cid:durableId="648678715">
    <w:abstractNumId w:val="17"/>
  </w:num>
  <w:num w:numId="25" w16cid:durableId="294264088">
    <w:abstractNumId w:val="15"/>
  </w:num>
  <w:num w:numId="26" w16cid:durableId="280039461">
    <w:abstractNumId w:val="6"/>
  </w:num>
  <w:num w:numId="27" w16cid:durableId="645858698">
    <w:abstractNumId w:val="11"/>
  </w:num>
  <w:num w:numId="28" w16cid:durableId="1197087122">
    <w:abstractNumId w:val="8"/>
  </w:num>
  <w:num w:numId="29" w16cid:durableId="914124571">
    <w:abstractNumId w:val="10"/>
  </w:num>
  <w:num w:numId="30" w16cid:durableId="623774025">
    <w:abstractNumId w:val="25"/>
  </w:num>
  <w:num w:numId="31" w16cid:durableId="1554200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F6"/>
    <w:rsid w:val="00002823"/>
    <w:rsid w:val="0000305D"/>
    <w:rsid w:val="00005A92"/>
    <w:rsid w:val="0001005D"/>
    <w:rsid w:val="00010B1F"/>
    <w:rsid w:val="000111B9"/>
    <w:rsid w:val="0001590D"/>
    <w:rsid w:val="0002222F"/>
    <w:rsid w:val="00022CD3"/>
    <w:rsid w:val="00026433"/>
    <w:rsid w:val="0002652C"/>
    <w:rsid w:val="00030813"/>
    <w:rsid w:val="00030814"/>
    <w:rsid w:val="000329F1"/>
    <w:rsid w:val="00032F0E"/>
    <w:rsid w:val="0003322F"/>
    <w:rsid w:val="00033790"/>
    <w:rsid w:val="0003485F"/>
    <w:rsid w:val="0004076A"/>
    <w:rsid w:val="00042A4C"/>
    <w:rsid w:val="00056C01"/>
    <w:rsid w:val="00060FC7"/>
    <w:rsid w:val="00066251"/>
    <w:rsid w:val="00066A91"/>
    <w:rsid w:val="00066BA4"/>
    <w:rsid w:val="00071144"/>
    <w:rsid w:val="00074905"/>
    <w:rsid w:val="0007674F"/>
    <w:rsid w:val="000853B5"/>
    <w:rsid w:val="000875B6"/>
    <w:rsid w:val="0009573D"/>
    <w:rsid w:val="000A04CF"/>
    <w:rsid w:val="000A0A6A"/>
    <w:rsid w:val="000A5AAD"/>
    <w:rsid w:val="000B0D0E"/>
    <w:rsid w:val="000B274D"/>
    <w:rsid w:val="000D07FD"/>
    <w:rsid w:val="000D268B"/>
    <w:rsid w:val="000D3BD5"/>
    <w:rsid w:val="000D7412"/>
    <w:rsid w:val="000E24B1"/>
    <w:rsid w:val="000F375B"/>
    <w:rsid w:val="000F6C4B"/>
    <w:rsid w:val="001071D0"/>
    <w:rsid w:val="001257DF"/>
    <w:rsid w:val="001312C4"/>
    <w:rsid w:val="00132F47"/>
    <w:rsid w:val="00140D01"/>
    <w:rsid w:val="001477A5"/>
    <w:rsid w:val="00150333"/>
    <w:rsid w:val="0015210E"/>
    <w:rsid w:val="00152B33"/>
    <w:rsid w:val="001631B3"/>
    <w:rsid w:val="00181D48"/>
    <w:rsid w:val="00183ABF"/>
    <w:rsid w:val="0019767C"/>
    <w:rsid w:val="00197AC3"/>
    <w:rsid w:val="001A5EA2"/>
    <w:rsid w:val="001A69B3"/>
    <w:rsid w:val="001A7B53"/>
    <w:rsid w:val="001D0128"/>
    <w:rsid w:val="001D0A49"/>
    <w:rsid w:val="001D18E1"/>
    <w:rsid w:val="001D1E2F"/>
    <w:rsid w:val="001D3212"/>
    <w:rsid w:val="001D3804"/>
    <w:rsid w:val="001D43E8"/>
    <w:rsid w:val="001E2383"/>
    <w:rsid w:val="001E5E49"/>
    <w:rsid w:val="002000D9"/>
    <w:rsid w:val="0020122E"/>
    <w:rsid w:val="00202472"/>
    <w:rsid w:val="00207BCB"/>
    <w:rsid w:val="00214AB4"/>
    <w:rsid w:val="00215384"/>
    <w:rsid w:val="00216DA9"/>
    <w:rsid w:val="002212AF"/>
    <w:rsid w:val="00223936"/>
    <w:rsid w:val="00223DCA"/>
    <w:rsid w:val="0022622E"/>
    <w:rsid w:val="00227139"/>
    <w:rsid w:val="00237FBC"/>
    <w:rsid w:val="002421F8"/>
    <w:rsid w:val="0024237C"/>
    <w:rsid w:val="00242B76"/>
    <w:rsid w:val="00244722"/>
    <w:rsid w:val="00244C70"/>
    <w:rsid w:val="00254948"/>
    <w:rsid w:val="00282EE1"/>
    <w:rsid w:val="002839D1"/>
    <w:rsid w:val="00297504"/>
    <w:rsid w:val="002A7AA2"/>
    <w:rsid w:val="002B03C6"/>
    <w:rsid w:val="002B14DA"/>
    <w:rsid w:val="002B54CC"/>
    <w:rsid w:val="002B71A8"/>
    <w:rsid w:val="002C3659"/>
    <w:rsid w:val="002C3DE1"/>
    <w:rsid w:val="002C433F"/>
    <w:rsid w:val="002D2667"/>
    <w:rsid w:val="002D377E"/>
    <w:rsid w:val="002D6796"/>
    <w:rsid w:val="002E2C72"/>
    <w:rsid w:val="003023FD"/>
    <w:rsid w:val="00303793"/>
    <w:rsid w:val="003064A7"/>
    <w:rsid w:val="0030792A"/>
    <w:rsid w:val="00310397"/>
    <w:rsid w:val="00313C4E"/>
    <w:rsid w:val="003147CD"/>
    <w:rsid w:val="0031483B"/>
    <w:rsid w:val="00314941"/>
    <w:rsid w:val="00317EEE"/>
    <w:rsid w:val="0032022B"/>
    <w:rsid w:val="003215A5"/>
    <w:rsid w:val="0032246B"/>
    <w:rsid w:val="003230D2"/>
    <w:rsid w:val="00327BE7"/>
    <w:rsid w:val="003332AA"/>
    <w:rsid w:val="00336B50"/>
    <w:rsid w:val="003417F2"/>
    <w:rsid w:val="003463A8"/>
    <w:rsid w:val="00347166"/>
    <w:rsid w:val="003550B2"/>
    <w:rsid w:val="00356A0B"/>
    <w:rsid w:val="00357F56"/>
    <w:rsid w:val="00365986"/>
    <w:rsid w:val="00366138"/>
    <w:rsid w:val="0036660E"/>
    <w:rsid w:val="00372CF3"/>
    <w:rsid w:val="0037506E"/>
    <w:rsid w:val="003879B1"/>
    <w:rsid w:val="003924D7"/>
    <w:rsid w:val="00395C53"/>
    <w:rsid w:val="003A63EB"/>
    <w:rsid w:val="003A742C"/>
    <w:rsid w:val="003B0437"/>
    <w:rsid w:val="003B0FD5"/>
    <w:rsid w:val="003B165D"/>
    <w:rsid w:val="003B58F2"/>
    <w:rsid w:val="003B6062"/>
    <w:rsid w:val="003B60D4"/>
    <w:rsid w:val="003C730A"/>
    <w:rsid w:val="003D0AE4"/>
    <w:rsid w:val="003D2E45"/>
    <w:rsid w:val="003E086B"/>
    <w:rsid w:val="003E229C"/>
    <w:rsid w:val="003E2856"/>
    <w:rsid w:val="003E63D3"/>
    <w:rsid w:val="003E729F"/>
    <w:rsid w:val="003E7B3E"/>
    <w:rsid w:val="003F13D1"/>
    <w:rsid w:val="003F36B1"/>
    <w:rsid w:val="003F415A"/>
    <w:rsid w:val="003F5720"/>
    <w:rsid w:val="004000F6"/>
    <w:rsid w:val="00400DEC"/>
    <w:rsid w:val="00405DA2"/>
    <w:rsid w:val="0041328C"/>
    <w:rsid w:val="004136D8"/>
    <w:rsid w:val="004245E2"/>
    <w:rsid w:val="00427238"/>
    <w:rsid w:val="004409D3"/>
    <w:rsid w:val="00446127"/>
    <w:rsid w:val="00447FA7"/>
    <w:rsid w:val="00451C59"/>
    <w:rsid w:val="0045611F"/>
    <w:rsid w:val="00457D99"/>
    <w:rsid w:val="004609B6"/>
    <w:rsid w:val="00461A32"/>
    <w:rsid w:val="00465E82"/>
    <w:rsid w:val="00467CD3"/>
    <w:rsid w:val="00472635"/>
    <w:rsid w:val="00473F4F"/>
    <w:rsid w:val="00480B1D"/>
    <w:rsid w:val="00482FF8"/>
    <w:rsid w:val="00495334"/>
    <w:rsid w:val="004A2CC6"/>
    <w:rsid w:val="004A6DD3"/>
    <w:rsid w:val="004B415C"/>
    <w:rsid w:val="004B4B32"/>
    <w:rsid w:val="004B7343"/>
    <w:rsid w:val="004C213B"/>
    <w:rsid w:val="004C350D"/>
    <w:rsid w:val="004C42DC"/>
    <w:rsid w:val="004C59BD"/>
    <w:rsid w:val="004D34FB"/>
    <w:rsid w:val="004D5D21"/>
    <w:rsid w:val="004D651E"/>
    <w:rsid w:val="004E29DA"/>
    <w:rsid w:val="004E2FF7"/>
    <w:rsid w:val="004E4195"/>
    <w:rsid w:val="004F0469"/>
    <w:rsid w:val="004F210E"/>
    <w:rsid w:val="004F51E1"/>
    <w:rsid w:val="00500CDA"/>
    <w:rsid w:val="00500D06"/>
    <w:rsid w:val="00503C4C"/>
    <w:rsid w:val="00517FD4"/>
    <w:rsid w:val="00520A67"/>
    <w:rsid w:val="0052183A"/>
    <w:rsid w:val="005322F7"/>
    <w:rsid w:val="00544ACC"/>
    <w:rsid w:val="005478E2"/>
    <w:rsid w:val="00563642"/>
    <w:rsid w:val="00565691"/>
    <w:rsid w:val="00566E0B"/>
    <w:rsid w:val="00571852"/>
    <w:rsid w:val="0057307B"/>
    <w:rsid w:val="00573CC4"/>
    <w:rsid w:val="00582049"/>
    <w:rsid w:val="00582DE2"/>
    <w:rsid w:val="0058353A"/>
    <w:rsid w:val="00583E56"/>
    <w:rsid w:val="005844BD"/>
    <w:rsid w:val="005905B7"/>
    <w:rsid w:val="005918AC"/>
    <w:rsid w:val="00595FC8"/>
    <w:rsid w:val="005A4FB1"/>
    <w:rsid w:val="005B1445"/>
    <w:rsid w:val="005B21D5"/>
    <w:rsid w:val="005B29D4"/>
    <w:rsid w:val="005B638E"/>
    <w:rsid w:val="005C26A9"/>
    <w:rsid w:val="005C6750"/>
    <w:rsid w:val="005D0ECA"/>
    <w:rsid w:val="005D1483"/>
    <w:rsid w:val="005D32F0"/>
    <w:rsid w:val="005E1E5A"/>
    <w:rsid w:val="005E26FE"/>
    <w:rsid w:val="005E2F0F"/>
    <w:rsid w:val="005E4AE8"/>
    <w:rsid w:val="005E5462"/>
    <w:rsid w:val="005E6306"/>
    <w:rsid w:val="005F4853"/>
    <w:rsid w:val="005F6506"/>
    <w:rsid w:val="005F737B"/>
    <w:rsid w:val="00600793"/>
    <w:rsid w:val="00602C30"/>
    <w:rsid w:val="0061151C"/>
    <w:rsid w:val="00624110"/>
    <w:rsid w:val="00625AB3"/>
    <w:rsid w:val="006263FC"/>
    <w:rsid w:val="006379A3"/>
    <w:rsid w:val="00644256"/>
    <w:rsid w:val="00645F15"/>
    <w:rsid w:val="00650F70"/>
    <w:rsid w:val="00656A48"/>
    <w:rsid w:val="00656B09"/>
    <w:rsid w:val="00675005"/>
    <w:rsid w:val="00693083"/>
    <w:rsid w:val="00693C2B"/>
    <w:rsid w:val="00694937"/>
    <w:rsid w:val="006A2495"/>
    <w:rsid w:val="006A63C1"/>
    <w:rsid w:val="006B2AD2"/>
    <w:rsid w:val="006B7550"/>
    <w:rsid w:val="006B790C"/>
    <w:rsid w:val="006C41D0"/>
    <w:rsid w:val="006E077B"/>
    <w:rsid w:val="006E0DA4"/>
    <w:rsid w:val="006E1AC9"/>
    <w:rsid w:val="006F07F3"/>
    <w:rsid w:val="006F6B18"/>
    <w:rsid w:val="00701554"/>
    <w:rsid w:val="0070187D"/>
    <w:rsid w:val="00704A5E"/>
    <w:rsid w:val="00710DF7"/>
    <w:rsid w:val="00725F62"/>
    <w:rsid w:val="007330C0"/>
    <w:rsid w:val="00735847"/>
    <w:rsid w:val="007369AF"/>
    <w:rsid w:val="00737EF6"/>
    <w:rsid w:val="00741DE2"/>
    <w:rsid w:val="007438AA"/>
    <w:rsid w:val="007637F9"/>
    <w:rsid w:val="00763EEC"/>
    <w:rsid w:val="00772144"/>
    <w:rsid w:val="007769E8"/>
    <w:rsid w:val="00784C4F"/>
    <w:rsid w:val="00785E06"/>
    <w:rsid w:val="00786453"/>
    <w:rsid w:val="00791921"/>
    <w:rsid w:val="007A33DE"/>
    <w:rsid w:val="007A3439"/>
    <w:rsid w:val="007A6FE0"/>
    <w:rsid w:val="007C06E2"/>
    <w:rsid w:val="007C1B6D"/>
    <w:rsid w:val="007D113E"/>
    <w:rsid w:val="007D33E6"/>
    <w:rsid w:val="007E7940"/>
    <w:rsid w:val="007E7A4A"/>
    <w:rsid w:val="007F1F06"/>
    <w:rsid w:val="00800018"/>
    <w:rsid w:val="008011B4"/>
    <w:rsid w:val="0080121F"/>
    <w:rsid w:val="0080157A"/>
    <w:rsid w:val="00803994"/>
    <w:rsid w:val="008073E0"/>
    <w:rsid w:val="0080798C"/>
    <w:rsid w:val="0081050A"/>
    <w:rsid w:val="008112D7"/>
    <w:rsid w:val="00811692"/>
    <w:rsid w:val="00811F7C"/>
    <w:rsid w:val="008140A6"/>
    <w:rsid w:val="0081446E"/>
    <w:rsid w:val="008159A3"/>
    <w:rsid w:val="0082372E"/>
    <w:rsid w:val="008253DB"/>
    <w:rsid w:val="00832750"/>
    <w:rsid w:val="00835553"/>
    <w:rsid w:val="00837094"/>
    <w:rsid w:val="00837324"/>
    <w:rsid w:val="00840C8E"/>
    <w:rsid w:val="0084325B"/>
    <w:rsid w:val="00843A01"/>
    <w:rsid w:val="00846999"/>
    <w:rsid w:val="00846B20"/>
    <w:rsid w:val="008477E5"/>
    <w:rsid w:val="00850E20"/>
    <w:rsid w:val="00851170"/>
    <w:rsid w:val="00854CC6"/>
    <w:rsid w:val="00855FFA"/>
    <w:rsid w:val="00865351"/>
    <w:rsid w:val="0087301A"/>
    <w:rsid w:val="008744B1"/>
    <w:rsid w:val="00876DA6"/>
    <w:rsid w:val="0087705D"/>
    <w:rsid w:val="00880F3B"/>
    <w:rsid w:val="00881073"/>
    <w:rsid w:val="00883A45"/>
    <w:rsid w:val="008844FE"/>
    <w:rsid w:val="008879AB"/>
    <w:rsid w:val="00891AAF"/>
    <w:rsid w:val="00895A0A"/>
    <w:rsid w:val="00897F39"/>
    <w:rsid w:val="008A087F"/>
    <w:rsid w:val="008A0B0E"/>
    <w:rsid w:val="008A2423"/>
    <w:rsid w:val="008A2DBF"/>
    <w:rsid w:val="008A3D28"/>
    <w:rsid w:val="008C1976"/>
    <w:rsid w:val="008C3FB9"/>
    <w:rsid w:val="008C421A"/>
    <w:rsid w:val="008C47C6"/>
    <w:rsid w:val="008D0515"/>
    <w:rsid w:val="008D089A"/>
    <w:rsid w:val="008E112D"/>
    <w:rsid w:val="008E19A4"/>
    <w:rsid w:val="008E286A"/>
    <w:rsid w:val="008F13E9"/>
    <w:rsid w:val="008F20CA"/>
    <w:rsid w:val="008F708A"/>
    <w:rsid w:val="00907287"/>
    <w:rsid w:val="0090735C"/>
    <w:rsid w:val="00907D51"/>
    <w:rsid w:val="0091043A"/>
    <w:rsid w:val="009203A9"/>
    <w:rsid w:val="00923923"/>
    <w:rsid w:val="009314FF"/>
    <w:rsid w:val="00931791"/>
    <w:rsid w:val="00943234"/>
    <w:rsid w:val="00944E9B"/>
    <w:rsid w:val="009453DD"/>
    <w:rsid w:val="0094588B"/>
    <w:rsid w:val="00950341"/>
    <w:rsid w:val="009536BF"/>
    <w:rsid w:val="00954E05"/>
    <w:rsid w:val="009649A4"/>
    <w:rsid w:val="00971C41"/>
    <w:rsid w:val="009726B1"/>
    <w:rsid w:val="00981F5F"/>
    <w:rsid w:val="00982D1F"/>
    <w:rsid w:val="0098457F"/>
    <w:rsid w:val="0098691D"/>
    <w:rsid w:val="00997DD4"/>
    <w:rsid w:val="009A5836"/>
    <w:rsid w:val="009B1E8F"/>
    <w:rsid w:val="009C0D39"/>
    <w:rsid w:val="009D7341"/>
    <w:rsid w:val="009D7C28"/>
    <w:rsid w:val="009E144C"/>
    <w:rsid w:val="009E2026"/>
    <w:rsid w:val="009E2776"/>
    <w:rsid w:val="009F17A3"/>
    <w:rsid w:val="009F1FF6"/>
    <w:rsid w:val="00A075FC"/>
    <w:rsid w:val="00A100D1"/>
    <w:rsid w:val="00A12B94"/>
    <w:rsid w:val="00A13AAA"/>
    <w:rsid w:val="00A23449"/>
    <w:rsid w:val="00A23A63"/>
    <w:rsid w:val="00A25188"/>
    <w:rsid w:val="00A27145"/>
    <w:rsid w:val="00A27C1F"/>
    <w:rsid w:val="00A31DE0"/>
    <w:rsid w:val="00A32283"/>
    <w:rsid w:val="00A33329"/>
    <w:rsid w:val="00A36F1D"/>
    <w:rsid w:val="00A40455"/>
    <w:rsid w:val="00A426B5"/>
    <w:rsid w:val="00A44BFA"/>
    <w:rsid w:val="00A460CB"/>
    <w:rsid w:val="00A5097F"/>
    <w:rsid w:val="00A517B5"/>
    <w:rsid w:val="00A56C73"/>
    <w:rsid w:val="00A647A8"/>
    <w:rsid w:val="00A6523C"/>
    <w:rsid w:val="00A711B0"/>
    <w:rsid w:val="00A71F94"/>
    <w:rsid w:val="00A73155"/>
    <w:rsid w:val="00A76878"/>
    <w:rsid w:val="00A8125F"/>
    <w:rsid w:val="00A83FB8"/>
    <w:rsid w:val="00A93A99"/>
    <w:rsid w:val="00A944B0"/>
    <w:rsid w:val="00A95A35"/>
    <w:rsid w:val="00A96B3B"/>
    <w:rsid w:val="00AA2179"/>
    <w:rsid w:val="00AA2ED4"/>
    <w:rsid w:val="00AA4AFC"/>
    <w:rsid w:val="00AA733D"/>
    <w:rsid w:val="00AB203B"/>
    <w:rsid w:val="00AB3FE6"/>
    <w:rsid w:val="00AB554B"/>
    <w:rsid w:val="00AB7E73"/>
    <w:rsid w:val="00AC5316"/>
    <w:rsid w:val="00AC64BF"/>
    <w:rsid w:val="00AD270D"/>
    <w:rsid w:val="00AD5D04"/>
    <w:rsid w:val="00AE09C7"/>
    <w:rsid w:val="00AE2582"/>
    <w:rsid w:val="00AE507B"/>
    <w:rsid w:val="00AE6314"/>
    <w:rsid w:val="00AE6C85"/>
    <w:rsid w:val="00AF3E9B"/>
    <w:rsid w:val="00AF4CEE"/>
    <w:rsid w:val="00B025F1"/>
    <w:rsid w:val="00B0330A"/>
    <w:rsid w:val="00B07A2E"/>
    <w:rsid w:val="00B07EB1"/>
    <w:rsid w:val="00B15E3D"/>
    <w:rsid w:val="00B23FFB"/>
    <w:rsid w:val="00B25BA5"/>
    <w:rsid w:val="00B25BFB"/>
    <w:rsid w:val="00B401A0"/>
    <w:rsid w:val="00B41FE9"/>
    <w:rsid w:val="00B45C49"/>
    <w:rsid w:val="00B45EE0"/>
    <w:rsid w:val="00B50BD0"/>
    <w:rsid w:val="00B511FE"/>
    <w:rsid w:val="00B547ED"/>
    <w:rsid w:val="00B5486F"/>
    <w:rsid w:val="00B56EB1"/>
    <w:rsid w:val="00B655E0"/>
    <w:rsid w:val="00B65C68"/>
    <w:rsid w:val="00B71C9D"/>
    <w:rsid w:val="00B73EC6"/>
    <w:rsid w:val="00B801EA"/>
    <w:rsid w:val="00B824D4"/>
    <w:rsid w:val="00B84EA0"/>
    <w:rsid w:val="00B86BA2"/>
    <w:rsid w:val="00BA01F4"/>
    <w:rsid w:val="00BA3E77"/>
    <w:rsid w:val="00BA4777"/>
    <w:rsid w:val="00BB3C9E"/>
    <w:rsid w:val="00BB7FFA"/>
    <w:rsid w:val="00BC0D67"/>
    <w:rsid w:val="00BC1B3E"/>
    <w:rsid w:val="00BC2EB6"/>
    <w:rsid w:val="00BC618D"/>
    <w:rsid w:val="00BC750E"/>
    <w:rsid w:val="00BD19A7"/>
    <w:rsid w:val="00BD28C6"/>
    <w:rsid w:val="00BD2FE6"/>
    <w:rsid w:val="00BD6149"/>
    <w:rsid w:val="00BD7BC5"/>
    <w:rsid w:val="00BE464D"/>
    <w:rsid w:val="00BE6E0E"/>
    <w:rsid w:val="00BF4480"/>
    <w:rsid w:val="00C0120C"/>
    <w:rsid w:val="00C04AD0"/>
    <w:rsid w:val="00C12512"/>
    <w:rsid w:val="00C16CFC"/>
    <w:rsid w:val="00C21A5E"/>
    <w:rsid w:val="00C27114"/>
    <w:rsid w:val="00C345C9"/>
    <w:rsid w:val="00C34DDC"/>
    <w:rsid w:val="00C3542C"/>
    <w:rsid w:val="00C377E6"/>
    <w:rsid w:val="00C43608"/>
    <w:rsid w:val="00C5108A"/>
    <w:rsid w:val="00C54225"/>
    <w:rsid w:val="00C57A99"/>
    <w:rsid w:val="00C66B1D"/>
    <w:rsid w:val="00C702AE"/>
    <w:rsid w:val="00C70DC1"/>
    <w:rsid w:val="00C77761"/>
    <w:rsid w:val="00C83011"/>
    <w:rsid w:val="00C83ED0"/>
    <w:rsid w:val="00C87659"/>
    <w:rsid w:val="00C92AB3"/>
    <w:rsid w:val="00C950E2"/>
    <w:rsid w:val="00C954EE"/>
    <w:rsid w:val="00CA47F2"/>
    <w:rsid w:val="00CA4903"/>
    <w:rsid w:val="00CA4A09"/>
    <w:rsid w:val="00CB1597"/>
    <w:rsid w:val="00CB2D4C"/>
    <w:rsid w:val="00CC015E"/>
    <w:rsid w:val="00CC475A"/>
    <w:rsid w:val="00CC5407"/>
    <w:rsid w:val="00CC6286"/>
    <w:rsid w:val="00CD17F5"/>
    <w:rsid w:val="00CD187B"/>
    <w:rsid w:val="00CD2C4C"/>
    <w:rsid w:val="00CD3D8B"/>
    <w:rsid w:val="00CD4A6F"/>
    <w:rsid w:val="00CE1624"/>
    <w:rsid w:val="00CE64F9"/>
    <w:rsid w:val="00CE6F04"/>
    <w:rsid w:val="00CF5048"/>
    <w:rsid w:val="00CF79A0"/>
    <w:rsid w:val="00D0483B"/>
    <w:rsid w:val="00D05618"/>
    <w:rsid w:val="00D11537"/>
    <w:rsid w:val="00D24228"/>
    <w:rsid w:val="00D25825"/>
    <w:rsid w:val="00D40BF3"/>
    <w:rsid w:val="00D4557F"/>
    <w:rsid w:val="00D56343"/>
    <w:rsid w:val="00D63726"/>
    <w:rsid w:val="00D641E2"/>
    <w:rsid w:val="00D67434"/>
    <w:rsid w:val="00D70F18"/>
    <w:rsid w:val="00D71A52"/>
    <w:rsid w:val="00D72049"/>
    <w:rsid w:val="00D72737"/>
    <w:rsid w:val="00D74763"/>
    <w:rsid w:val="00D779E3"/>
    <w:rsid w:val="00D80AC6"/>
    <w:rsid w:val="00D81809"/>
    <w:rsid w:val="00D83179"/>
    <w:rsid w:val="00D8395A"/>
    <w:rsid w:val="00DA2B79"/>
    <w:rsid w:val="00DB5813"/>
    <w:rsid w:val="00DB6855"/>
    <w:rsid w:val="00DC4624"/>
    <w:rsid w:val="00DC4DAA"/>
    <w:rsid w:val="00DD0CF8"/>
    <w:rsid w:val="00DF2D3F"/>
    <w:rsid w:val="00DF3447"/>
    <w:rsid w:val="00E07516"/>
    <w:rsid w:val="00E116B4"/>
    <w:rsid w:val="00E126EF"/>
    <w:rsid w:val="00E22CAB"/>
    <w:rsid w:val="00E23153"/>
    <w:rsid w:val="00E240BA"/>
    <w:rsid w:val="00E26B06"/>
    <w:rsid w:val="00E31852"/>
    <w:rsid w:val="00E34E62"/>
    <w:rsid w:val="00E430E5"/>
    <w:rsid w:val="00E44E35"/>
    <w:rsid w:val="00E462F9"/>
    <w:rsid w:val="00E463B0"/>
    <w:rsid w:val="00E53A2D"/>
    <w:rsid w:val="00E54163"/>
    <w:rsid w:val="00E543C2"/>
    <w:rsid w:val="00E616CD"/>
    <w:rsid w:val="00E72917"/>
    <w:rsid w:val="00E75836"/>
    <w:rsid w:val="00E75E48"/>
    <w:rsid w:val="00E811B5"/>
    <w:rsid w:val="00E834EC"/>
    <w:rsid w:val="00E835FD"/>
    <w:rsid w:val="00E9512F"/>
    <w:rsid w:val="00E95596"/>
    <w:rsid w:val="00E97C18"/>
    <w:rsid w:val="00E97DF9"/>
    <w:rsid w:val="00EB1460"/>
    <w:rsid w:val="00EC0180"/>
    <w:rsid w:val="00EC1BA2"/>
    <w:rsid w:val="00EC1CB2"/>
    <w:rsid w:val="00EC2618"/>
    <w:rsid w:val="00EC27A6"/>
    <w:rsid w:val="00EC387B"/>
    <w:rsid w:val="00ED1E60"/>
    <w:rsid w:val="00ED530A"/>
    <w:rsid w:val="00EF0BC0"/>
    <w:rsid w:val="00F03326"/>
    <w:rsid w:val="00F0648E"/>
    <w:rsid w:val="00F07209"/>
    <w:rsid w:val="00F12B27"/>
    <w:rsid w:val="00F13DB3"/>
    <w:rsid w:val="00F149D9"/>
    <w:rsid w:val="00F24BED"/>
    <w:rsid w:val="00F25239"/>
    <w:rsid w:val="00F3061B"/>
    <w:rsid w:val="00F32EC2"/>
    <w:rsid w:val="00F335AC"/>
    <w:rsid w:val="00F36FAF"/>
    <w:rsid w:val="00F4215B"/>
    <w:rsid w:val="00F4267E"/>
    <w:rsid w:val="00F43319"/>
    <w:rsid w:val="00F453DD"/>
    <w:rsid w:val="00F51A51"/>
    <w:rsid w:val="00F53BE9"/>
    <w:rsid w:val="00F54237"/>
    <w:rsid w:val="00F7269D"/>
    <w:rsid w:val="00F72A18"/>
    <w:rsid w:val="00F7342F"/>
    <w:rsid w:val="00F77CE2"/>
    <w:rsid w:val="00F9054F"/>
    <w:rsid w:val="00FA29C2"/>
    <w:rsid w:val="00FB41BB"/>
    <w:rsid w:val="00FB4669"/>
    <w:rsid w:val="00FB5B39"/>
    <w:rsid w:val="00FC013A"/>
    <w:rsid w:val="00FE00A5"/>
    <w:rsid w:val="00FE0F9B"/>
    <w:rsid w:val="00FE39DC"/>
    <w:rsid w:val="00FF508F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78128"/>
  <w15:chartTrackingRefBased/>
  <w15:docId w15:val="{AA8CC081-F65F-4954-9D96-312988C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7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EF6"/>
  </w:style>
  <w:style w:type="paragraph" w:styleId="Footer">
    <w:name w:val="footer"/>
    <w:basedOn w:val="Normal"/>
    <w:link w:val="FooterChar"/>
    <w:uiPriority w:val="99"/>
    <w:unhideWhenUsed/>
    <w:rsid w:val="00737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F6"/>
  </w:style>
  <w:style w:type="paragraph" w:styleId="NormalIndent">
    <w:name w:val="Normal Indent"/>
    <w:basedOn w:val="Normal"/>
    <w:link w:val="NormalIndentChar"/>
    <w:rsid w:val="004C42DC"/>
    <w:pPr>
      <w:overflowPunct w:val="0"/>
      <w:autoSpaceDE w:val="0"/>
      <w:autoSpaceDN w:val="0"/>
      <w:adjustRightInd w:val="0"/>
      <w:spacing w:before="120" w:after="120" w:line="240" w:lineRule="auto"/>
      <w:ind w:left="708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NormalIndentChar">
    <w:name w:val="Normal Indent Char"/>
    <w:basedOn w:val="DefaultParagraphFont"/>
    <w:link w:val="NormalIndent"/>
    <w:rsid w:val="004C42DC"/>
    <w:rPr>
      <w:rFonts w:ascii="Garamond" w:eastAsia="Times New Roman" w:hAnsi="Garamond" w:cs="Times New Roman"/>
      <w:sz w:val="24"/>
      <w:szCs w:val="20"/>
      <w:lang w:eastAsia="fr-FR"/>
    </w:rPr>
  </w:style>
  <w:style w:type="paragraph" w:customStyle="1" w:styleId="Retraita">
    <w:name w:val="Retrait a"/>
    <w:basedOn w:val="NormalIndent"/>
    <w:rsid w:val="004C42DC"/>
    <w:pPr>
      <w:ind w:left="1248" w:hanging="567"/>
    </w:pPr>
    <w:rPr>
      <w:noProof/>
    </w:rPr>
  </w:style>
  <w:style w:type="character" w:customStyle="1" w:styleId="apple-converted-space">
    <w:name w:val="apple-converted-space"/>
    <w:basedOn w:val="DefaultParagraphFont"/>
    <w:rsid w:val="008E112D"/>
  </w:style>
  <w:style w:type="character" w:styleId="Hyperlink">
    <w:name w:val="Hyperlink"/>
    <w:basedOn w:val="DefaultParagraphFont"/>
    <w:uiPriority w:val="99"/>
    <w:unhideWhenUsed/>
    <w:rsid w:val="008E112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D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DC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447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4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325B"/>
    <w:pPr>
      <w:spacing w:after="0" w:line="240" w:lineRule="auto"/>
    </w:pPr>
  </w:style>
  <w:style w:type="paragraph" w:customStyle="1" w:styleId="Default">
    <w:name w:val="Default"/>
    <w:rsid w:val="00B54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B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1D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19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28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1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9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7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88765.locale=en" TargetMode="External"/><Relationship Id="rId13" Type="http://schemas.openxmlformats.org/officeDocument/2006/relationships/hyperlink" Target="https://www.unesco.org/en/articles/resilience-and-remembrance-20-years-after-2004-indian-ocean-tsunam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sunami.ioc.unesco.org/en/impact/eyewitness-survivors-projec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oceanteache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esdoc.unesco.org/ark:/48223/pf0000246931.locale=en" TargetMode="External"/><Relationship Id="rId10" Type="http://schemas.openxmlformats.org/officeDocument/2006/relationships/hyperlink" Target="https://unesdoc.unesco.org/ark:/48223/pf0000392712.locale=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92653.locale=en" TargetMode="External"/><Relationship Id="rId14" Type="http://schemas.openxmlformats.org/officeDocument/2006/relationships/hyperlink" Target="https://tsunamiday.undrr.org/gettohighground-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2FD7-D190-4D6E-B43B-EB843F461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1643</Words>
  <Characters>11328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для руководящих органов</dc:title>
  <dc:subject>IOC/TOWS-WG-XVIII</dc:subject>
  <dc:creator>Aliaga, Bernardo</dc:creator>
  <cp:keywords/>
  <dc:description/>
  <cp:lastModifiedBy>Mourachova, Alla</cp:lastModifiedBy>
  <cp:revision>12</cp:revision>
  <cp:lastPrinted>2022-02-25T11:07:00Z</cp:lastPrinted>
  <dcterms:created xsi:type="dcterms:W3CDTF">2025-05-07T07:42:00Z</dcterms:created>
  <dcterms:modified xsi:type="dcterms:W3CDTF">2025-05-07T08:46:00Z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JobNumber">
    <vt:lpwstr>2500398R</vt:lpwstr>
  </property>
  <property fmtid="{D5CDD505-2E9C-101B-9397-08002B2CF9AE}" pid="4" name="ForceJobNumber">
    <vt:bool>false</vt:bool>
  </property>
</Properties>
</file>