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E408C7" w14:paraId="7AFC8DAE" w14:textId="77777777">
        <w:trPr>
          <w:jc w:val="center"/>
        </w:trPr>
        <w:tc>
          <w:tcPr>
            <w:tcW w:w="7654" w:type="dxa"/>
            <w:tcMar>
              <w:top w:w="170" w:type="dxa"/>
              <w:left w:w="170" w:type="dxa"/>
              <w:bottom w:w="170" w:type="dxa"/>
              <w:right w:w="170" w:type="dxa"/>
            </w:tcMar>
          </w:tcPr>
          <w:p w14:paraId="57A62484" w14:textId="77777777" w:rsidR="00467E3F" w:rsidRPr="00E408C7" w:rsidRDefault="00B83068" w:rsidP="00853565">
            <w:pPr>
              <w:pStyle w:val="Marge"/>
              <w:jc w:val="center"/>
              <w:rPr>
                <w:rFonts w:cs="Arial"/>
                <w:szCs w:val="22"/>
              </w:rPr>
            </w:pPr>
            <w:r w:rsidRPr="00E408C7">
              <w:rPr>
                <w:rFonts w:cs="Arial"/>
                <w:szCs w:val="22"/>
                <w:u w:val="single"/>
                <w:lang w:val="ru"/>
              </w:rPr>
              <w:t>Резюме</w:t>
            </w:r>
          </w:p>
          <w:p w14:paraId="39FCE183" w14:textId="2B175525" w:rsidR="00615636" w:rsidRPr="00E408C7" w:rsidRDefault="00615636" w:rsidP="00467E3F">
            <w:pPr>
              <w:pStyle w:val="Marge"/>
              <w:spacing w:after="120"/>
              <w:rPr>
                <w:rFonts w:cs="Arial"/>
                <w:iCs/>
                <w:szCs w:val="22"/>
              </w:rPr>
            </w:pPr>
            <w:r w:rsidRPr="00E408C7">
              <w:rPr>
                <w:rFonts w:cs="Arial"/>
                <w:szCs w:val="22"/>
                <w:lang w:val="ru"/>
              </w:rPr>
              <w:t xml:space="preserve">Настоящий документ кратко описывает выводы и рекомендации независимой Среднесрочной оценки Десятилетия ООН, посвященного науке об океане в интересах устойчивого развития, проведенной департаментом внутреннего надзора ЮНЕСКО (см. </w:t>
            </w:r>
            <w:r>
              <w:fldChar w:fldCharType="begin"/>
            </w:r>
            <w:r>
              <w:instrText>HYPERLINK "https://oceanexpert.org/document/36476"</w:instrText>
            </w:r>
            <w:r>
              <w:fldChar w:fldCharType="separate"/>
            </w:r>
            <w:r w:rsidRPr="00E408C7">
              <w:rPr>
                <w:rStyle w:val="Hyperlink"/>
                <w:rFonts w:cs="Arial"/>
                <w:szCs w:val="22"/>
                <w:lang w:val="ru"/>
              </w:rPr>
              <w:t>IOS/EVS/PI/223 | IOC/INF-1545</w:t>
            </w:r>
            <w:r>
              <w:fldChar w:fldCharType="end"/>
            </w:r>
            <w:r w:rsidRPr="00E408C7">
              <w:rPr>
                <w:rFonts w:cs="Arial"/>
                <w:szCs w:val="22"/>
                <w:lang w:val="ru"/>
              </w:rPr>
              <w:t>). Он также содержит ответ руководства Исполнительного секретаря МОК на выводы и рекомендации оценки в приложении 1 и Заявление Консультативного совета по вопросам проведения Десятилетия в приложении 2 (только на английском языке).</w:t>
            </w:r>
          </w:p>
          <w:p w14:paraId="05C894AE" w14:textId="574E2EC0" w:rsidR="00737A18" w:rsidRPr="00E408C7" w:rsidRDefault="00413F17" w:rsidP="00615636">
            <w:pPr>
              <w:pStyle w:val="Marge"/>
              <w:spacing w:after="120"/>
              <w:rPr>
                <w:rFonts w:cs="Arial"/>
                <w:szCs w:val="22"/>
              </w:rPr>
            </w:pPr>
            <w:r w:rsidRPr="00E408C7">
              <w:rPr>
                <w:rFonts w:cs="Arial"/>
                <w:szCs w:val="22"/>
                <w:u w:val="single"/>
                <w:lang w:val="ru"/>
              </w:rPr>
              <w:t>Предлагаемое(-ые) решение(-я)</w:t>
            </w:r>
            <w:r w:rsidRPr="00E408C7">
              <w:rPr>
                <w:rFonts w:cs="Arial"/>
                <w:szCs w:val="22"/>
                <w:lang w:val="ru"/>
              </w:rPr>
              <w:t xml:space="preserve"> представлено(-ы) в документе о принятых и предлагаемых мерах (документ IOC/A-33/2) под номером </w:t>
            </w:r>
            <w:r w:rsidRPr="00E408C7">
              <w:rPr>
                <w:rFonts w:cs="Arial"/>
                <w:color w:val="000000" w:themeColor="text1"/>
                <w:szCs w:val="22"/>
                <w:u w:val="single"/>
                <w:lang w:val="ru"/>
              </w:rPr>
              <w:t>Проект резолюции A-33/[4.8]</w:t>
            </w:r>
            <w:r w:rsidRPr="00E408C7">
              <w:rPr>
                <w:rFonts w:cs="Arial"/>
                <w:szCs w:val="22"/>
                <w:lang w:val="ru"/>
              </w:rPr>
              <w:t xml:space="preserve">. </w:t>
            </w:r>
          </w:p>
        </w:tc>
      </w:tr>
    </w:tbl>
    <w:p w14:paraId="45D44E70" w14:textId="77777777" w:rsidR="00746B89" w:rsidRPr="00E408C7" w:rsidRDefault="00746B89" w:rsidP="005C7A36">
      <w:pPr>
        <w:pStyle w:val="Heading3"/>
        <w:sectPr w:rsidR="00746B89" w:rsidRPr="00E408C7"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4365FF58" w14:textId="208CA500" w:rsidR="00737A18" w:rsidRPr="00E408C7" w:rsidRDefault="00890A26" w:rsidP="009026D3">
      <w:pPr>
        <w:pStyle w:val="Heading3"/>
      </w:pPr>
      <w:r w:rsidRPr="00E408C7">
        <w:rPr>
          <w:lang w:val="ru"/>
        </w:rPr>
        <w:lastRenderedPageBreak/>
        <w:t>Обзор Десятилетия ООН, посвященного науке об океане</w:t>
      </w:r>
    </w:p>
    <w:p w14:paraId="6AD734DE" w14:textId="595E9F01" w:rsidR="00890A26" w:rsidRPr="00E408C7" w:rsidRDefault="00890A26" w:rsidP="00890A26">
      <w:pPr>
        <w:pStyle w:val="COI"/>
        <w:rPr>
          <w:lang w:val="ru"/>
        </w:rPr>
      </w:pPr>
      <w:r w:rsidRPr="00E408C7">
        <w:rPr>
          <w:lang w:val="ru"/>
        </w:rPr>
        <w:t xml:space="preserve">Десятилетие Организации Объединенных Наций, посвященное науке об океане в интересах устойчивого развития (2021-2030 гг.), было официально провозглашено Генеральной Ассамблеей Организации Объединенных Наций в резолюции </w:t>
      </w:r>
      <w:r>
        <w:fldChar w:fldCharType="begin"/>
      </w:r>
      <w:r>
        <w:instrText>HYPERLINK "https://www.un.org/en/development/desa/population/migration/generalassembly/docs/globalcompact/A_RES_72_73.pdf"</w:instrText>
      </w:r>
      <w:r>
        <w:fldChar w:fldCharType="separate"/>
      </w:r>
      <w:r w:rsidRPr="00E408C7">
        <w:rPr>
          <w:rStyle w:val="Hyperlink"/>
          <w:lang w:val="ru"/>
        </w:rPr>
        <w:t>A/RES/72/73</w:t>
      </w:r>
      <w:r>
        <w:fldChar w:fldCharType="end"/>
      </w:r>
      <w:r w:rsidRPr="00E408C7">
        <w:rPr>
          <w:lang w:val="ru"/>
        </w:rPr>
        <w:t>, принятой 5 декабря 2017 года. В резолюции Международной океанографической комиссии (МОК) ЮНЕСКО было предложено обеспечить подготовку и координацию плана проведения Десятилетия в консультации с государствами-членами, участниками системы ООН, межправительственными и неправительственными организациями и прочими соответствующими заинтересованными сторонами. В ней подчеркивалось, что проведение должно осуществляться «в рамках существующих структур и имеющихся ресурсов», указывая на то, что целью Десятилетия является не создание новых финансовых обязательств для государств-членов, а стимуляция координации, партнерства и деятельности.</w:t>
      </w:r>
    </w:p>
    <w:p w14:paraId="5D14063C" w14:textId="77777777" w:rsidR="00890A26" w:rsidRPr="00E408C7" w:rsidRDefault="00890A26" w:rsidP="00890A26">
      <w:pPr>
        <w:pStyle w:val="COI"/>
        <w:rPr>
          <w:lang w:val="ru"/>
        </w:rPr>
      </w:pPr>
      <w:r w:rsidRPr="00E408C7">
        <w:rPr>
          <w:lang w:val="ru"/>
        </w:rPr>
        <w:t>Идея Десятилетия, впервые предложенная МОК ЮНЕСКО в 2016 году, возникла в ответ на недостаточное мировое признание роли науки об океане в достижении целей Повестки дня на период до 2030 года, несмотря на включение в нее ЦУР 14 (Сохранение и рациональное использование океанов, морей и морских ресурсов). С момента запуска в январе 2021 года и за период, отмеченный пандемией COVID-19 и ростом глобальных экологических проблем, Десятилетие превратилось в глобальную инициативу под лозунгом «Актуализация научных знаний в интересах океана, который нам нужен». Он предполагает широкое и всеобъемлющее определение науки об океане, учитывающей разнообразные системы знаний и основанной на принципах справедливости, инклюзивности и разнообразия.</w:t>
      </w:r>
    </w:p>
    <w:p w14:paraId="644000B0" w14:textId="77777777" w:rsidR="00890A26" w:rsidRPr="00E408C7" w:rsidRDefault="00890A26" w:rsidP="00890A26">
      <w:pPr>
        <w:pStyle w:val="COI"/>
        <w:rPr>
          <w:lang w:val="ru"/>
        </w:rPr>
      </w:pPr>
      <w:r w:rsidRPr="00E408C7">
        <w:rPr>
          <w:lang w:val="ru"/>
        </w:rPr>
        <w:t xml:space="preserve">Опираясь на эту основу, Десятилетиес лужит рамками сотрудничества, призванными продвигать науку об океане, направленную на преобразование, путем содействия совместной разработке и реализации мероприятий на основе научного подхода, укрепления развития потенциала, мобилизации партнерств и ресурсов и содействия внедрения знаний об океане в политику и процессы принятия решений для продвижения устойчивого управления океаном. Хотя Десятилетие не является финансовой структурой, его успешность зависит от мобилизации финансовых ресурсов и ресурсов в натуральной форме для поддержки координации и создания благоприятной среды для привлечения финансирования и поддержки мероприятий в рамках Десятилетия. Кроме того, для этого требуется согласование с существующими программами и укрепление партнерских отношений в рамках системы ООН, а также между государственными, частными и многосторонними участниками. </w:t>
      </w:r>
    </w:p>
    <w:p w14:paraId="3B01B400" w14:textId="0667586D" w:rsidR="009026D3" w:rsidRPr="00E408C7" w:rsidRDefault="00890A26" w:rsidP="00890A26">
      <w:pPr>
        <w:pStyle w:val="COI"/>
        <w:rPr>
          <w:lang w:val="ru"/>
        </w:rPr>
      </w:pPr>
      <w:r w:rsidRPr="00E408C7">
        <w:rPr>
          <w:lang w:val="ru"/>
        </w:rPr>
        <w:t>Десятилетие осуществляется посредством многоуровневой структуры управления и координации, возглавляемой Группой по координации Десятилетия (ГКД) в рамках ЮНЕСКО-МОК, при поддержке глобальных и децентрализованных структур, включая Консультативный совет по вопросам проведения Десятилетия (КСД), ООН-Океаны, Бюро по координации проведения Десятилетия (БКД), Центры сотрудничества в рамках Десятилетия (ЦСД) и Национальные комитеты по проведению Десятилетия (НКД). Его цели достигаются посредством мероприятий в рамках Десятилетия, включающих программы, проекты, мероприятия и вклад в науку, политику, развитие потенциала и пропаганду.</w:t>
      </w:r>
    </w:p>
    <w:p w14:paraId="3A92C3E8" w14:textId="532C2E03" w:rsidR="00853565" w:rsidRPr="00E408C7" w:rsidRDefault="00890A26" w:rsidP="00853565">
      <w:pPr>
        <w:pStyle w:val="Heading3"/>
      </w:pPr>
      <w:r w:rsidRPr="00E408C7">
        <w:rPr>
          <w:lang w:val="ru"/>
        </w:rPr>
        <w:t>Цели и использование оценки</w:t>
      </w:r>
    </w:p>
    <w:p w14:paraId="2B72671C" w14:textId="184448B2" w:rsidR="0034156B" w:rsidRPr="00E408C7" w:rsidRDefault="00890A26" w:rsidP="00294AD5">
      <w:pPr>
        <w:pStyle w:val="COI"/>
        <w:rPr>
          <w:lang w:val="ru"/>
        </w:rPr>
      </w:pPr>
      <w:r w:rsidRPr="00E408C7">
        <w:rPr>
          <w:lang w:val="ru"/>
        </w:rPr>
        <w:t xml:space="preserve">Запрос на проведение Среднесрочной оценки Десятилетия ООН, посвященного науке об океане, поступил от Исполнительного совета МОК-ЮНЕСКО на 57-й сессии в июне 2024 года, став критической точкой размышления на промежуточном этапе инициативы. Целью оценки, проводимой департаментом внутреннего надзора (IOS) ЮНЕСКО, является анализ эффективности, актуальности и согласованности реализации Десятилетия на сегодняшний день и определение стратегических корректировок, необходимых для достижения запланированных результатов за оставшиеся пять лет. Таким образом, она способствует достижению двух целей: во-первых, оценить прогресс и новые достижения; во-вторых, предоставить основанные на фактических данных рекомендации по улучшению </w:t>
      </w:r>
      <w:r w:rsidRPr="00E408C7">
        <w:rPr>
          <w:lang w:val="ru"/>
        </w:rPr>
        <w:lastRenderedPageBreak/>
        <w:t>проведения Десятилетия, его результатов и устойчивости. Она охватывает ключевые аспекты Десятилетия, включая управление и координацию, мобилизацию ресурсов, передачу науки и знаний, мониторинг и оценку, вовлечение заинтересованных сторон, инклюзивность, коммуникацию и пропаганду, а также вклад Десятилетия в продвижение долгосрочных перспектив МОК и институционального развития. Она также определяет полученный опыт и области, требующие стратегического внимания, чтобы гарантировать, что Десятилетие сохраняет способность реагировать на новые глобальные проблемы. Основными предполагаемыми пользователями оценки являются ГКД, руководящие органы МОК, КСД, члены ООН-Океаны и децентрализованные координационные структуры. Второстепенные пользователи включают в себя НКД, государства-члены и более широкое сообщество исполнителей мероприятий в рамках Десятилетия.</w:t>
      </w:r>
    </w:p>
    <w:p w14:paraId="5EEA701E" w14:textId="50B459A2" w:rsidR="00853565" w:rsidRPr="00E408C7" w:rsidRDefault="00890A26" w:rsidP="00853565">
      <w:pPr>
        <w:pStyle w:val="Heading3"/>
      </w:pPr>
      <w:r w:rsidRPr="00E408C7">
        <w:rPr>
          <w:lang w:val="ru"/>
        </w:rPr>
        <w:t>Ключевые элементы методики оценки</w:t>
      </w:r>
    </w:p>
    <w:p w14:paraId="62DC0BA8" w14:textId="0BD24157" w:rsidR="0034156B" w:rsidRPr="00E408C7" w:rsidRDefault="00890A26" w:rsidP="00294AD5">
      <w:pPr>
        <w:pStyle w:val="COI"/>
        <w:rPr>
          <w:lang w:val="ru"/>
        </w:rPr>
      </w:pPr>
      <w:r w:rsidRPr="00E408C7">
        <w:rPr>
          <w:lang w:val="ru"/>
        </w:rPr>
        <w:t>В оценке применяется ориентированный на использование подход с задействованием смешанных методов, объединяющий качественные и количественные данные для всестороннего анализа. Ключевые методы включают анализ документации, полуструктурированные опросы 109 заинтересованных лиц, обсуждение в фокус-группах, изучение практических примеров и онлайн-опрос для 1205 респондентов, 72 % которых считают себя активными участниками Десятилетия. Всего были проведены 1006 консультаций с заинтересованными сторонами в 118 странах с использованием ряда методик. Сбор данных проводился на английском, испанском и французском языках, что обеспечило широкое географическое, секторальное и демографическое представительство с особым вниманием к недостаточно представленным группам, таким как наименее развитые страны (НРС), малые островные развивающиеся государства (МОСРГ), коренные народы и начинающие специалисты-океанографы (НСО). Методика также предполагала использование анализа социальных сетей, анализа библиометрического и политического влияния и подробное исследование международных средств массовой информации. Оценка строится вокруг Теории перемен (ТП) для создания дорожной карты от исходных данных до результатов и для проверки ключевых предположений.</w:t>
      </w:r>
    </w:p>
    <w:p w14:paraId="64739BD1" w14:textId="54684E86" w:rsidR="00890A26" w:rsidRPr="00E408C7" w:rsidRDefault="00890A26" w:rsidP="00890A26">
      <w:pPr>
        <w:pStyle w:val="Heading3"/>
      </w:pPr>
      <w:r w:rsidRPr="00E408C7">
        <w:rPr>
          <w:lang w:val="ru"/>
        </w:rPr>
        <w:t>Основные выводы и заключения</w:t>
      </w:r>
    </w:p>
    <w:p w14:paraId="2C9E42EB" w14:textId="77777777" w:rsidR="00890A26" w:rsidRPr="00E408C7" w:rsidRDefault="00890A26" w:rsidP="00F85CAD">
      <w:pPr>
        <w:pStyle w:val="COI"/>
      </w:pPr>
      <w:r w:rsidRPr="00E408C7">
        <w:rPr>
          <w:lang w:val="ru"/>
        </w:rPr>
        <w:t xml:space="preserve">Следующие выводы и заключения, сделанные на основе широкого ряда источников данных, подтвержденных методом триангуляции, подчеркивают достигнутый прогресс и достижения Десятилетия ООН, посвященного науке об океане, а также ключевые области для улучшения во второй половине Десятилетия. </w:t>
      </w:r>
    </w:p>
    <w:p w14:paraId="4E7A07C3" w14:textId="77777777" w:rsidR="00890A26" w:rsidRPr="00E408C7" w:rsidRDefault="00890A26" w:rsidP="00F85CAD">
      <w:pPr>
        <w:tabs>
          <w:tab w:val="left" w:pos="709"/>
        </w:tabs>
        <w:spacing w:before="240" w:after="120"/>
        <w:jc w:val="both"/>
        <w:rPr>
          <w:rFonts w:cs="Arial"/>
          <w:i/>
          <w:iCs/>
          <w:u w:val="single"/>
        </w:rPr>
      </w:pPr>
      <w:r w:rsidRPr="00E408C7">
        <w:rPr>
          <w:rFonts w:cs="Arial"/>
          <w:i/>
          <w:iCs/>
          <w:u w:val="single"/>
          <w:lang w:val="ru"/>
        </w:rPr>
        <w:t>Основные достижения</w:t>
      </w:r>
    </w:p>
    <w:p w14:paraId="3A88AE3D" w14:textId="77777777" w:rsidR="00890A26" w:rsidRPr="00E408C7" w:rsidRDefault="00890A26" w:rsidP="00F85CAD">
      <w:pPr>
        <w:pStyle w:val="COI"/>
        <w:rPr>
          <w:rFonts w:cs="Arial"/>
          <w:lang w:val="ru"/>
        </w:rPr>
      </w:pPr>
      <w:r w:rsidRPr="00E408C7">
        <w:rPr>
          <w:lang w:val="ru"/>
        </w:rPr>
        <w:t xml:space="preserve">Отчет </w:t>
      </w:r>
      <w:hyperlink r:id="rId11" w:history="1">
        <w:r w:rsidRPr="00E408C7">
          <w:rPr>
            <w:rStyle w:val="Hyperlink"/>
            <w:rFonts w:cs="Arial"/>
            <w:u w:val="none"/>
            <w:lang w:val="ru"/>
          </w:rPr>
          <w:t>«Видение 2030»</w:t>
        </w:r>
      </w:hyperlink>
      <w:r w:rsidRPr="00E408C7">
        <w:rPr>
          <w:lang w:val="ru"/>
        </w:rPr>
        <w:t xml:space="preserve"> в рамках Десятилетия науки об океане, опубликованный в октябре 2024 года, описывает Десятилетие как «крупнейшую скоординированную глобальную инициативу в области науки об океане из когда-либо предпринимавшихся», мобилизовавшую более 4500 учреждений и 20 000 человек «для совместного создания и распространения науки и знаний, необходимых для принятия решений» в целях решения приоритетных задач Десятилетия науки об океане. Согласно отчету, мероприятия в рамках Десятилетия привлекли почти 1 млрд долларов США, однако дефицит ресурсов остается существенным сдерживающим фактором.</w:t>
      </w:r>
    </w:p>
    <w:p w14:paraId="2891314E" w14:textId="77777777" w:rsidR="00890A26" w:rsidRPr="00E408C7" w:rsidRDefault="00890A26" w:rsidP="00F85CAD">
      <w:pPr>
        <w:pStyle w:val="COI"/>
        <w:rPr>
          <w:rFonts w:cs="Arial"/>
          <w:lang w:val="ru"/>
        </w:rPr>
      </w:pPr>
      <w:r w:rsidRPr="00E408C7">
        <w:rPr>
          <w:rFonts w:cs="Arial"/>
          <w:lang w:val="ru"/>
        </w:rPr>
        <w:t xml:space="preserve">В ходе оценки было выявлено, что Десятилетие ООН, посвященное науке об океане, продемонстрировало существенный прогресс в первой половине срока и построило прочный фундамент для достижения запланированных результатов посредством более инклюзивной, эффективной и совместной научной деятельности в области океана. ГКД получил единогласное признание от заинтересованных сторон за свою ведущую роль и эффективность, несмотря на то, что ему пришлось действовать в условиях серьезной нехватки ресурсов. Децентрализованные координирующие структуры продемонстрировали многообещающие подходы к взаимодействию на региональном и национальном уровнях. </w:t>
      </w:r>
      <w:r w:rsidRPr="00E408C7">
        <w:rPr>
          <w:rFonts w:cs="Arial"/>
          <w:lang w:val="ru"/>
        </w:rPr>
        <w:lastRenderedPageBreak/>
        <w:t>Одновременно происходило развитие КСД в целях поддержки и обеспечения стратегического руководства ГКД.</w:t>
      </w:r>
    </w:p>
    <w:p w14:paraId="651D3A53" w14:textId="77777777" w:rsidR="00890A26" w:rsidRPr="00E408C7" w:rsidRDefault="00890A26" w:rsidP="00F85CAD">
      <w:pPr>
        <w:pStyle w:val="COI"/>
        <w:rPr>
          <w:rFonts w:cs="Arial"/>
          <w:lang w:val="ru"/>
        </w:rPr>
      </w:pPr>
      <w:r w:rsidRPr="00E408C7">
        <w:rPr>
          <w:lang w:val="ru"/>
        </w:rPr>
        <w:t>Десятилетие способствовало укреплению межсекторальных партнерских отношений. Сотрудничество между ГКД и программными секторами и центральными службами ЮНЕСКО, такими как программа «Система знаний местных и коренных народов» (LINKS) и департамент гендерного равенства, поддержало включение различных систем знаний, а также учет гендерной проблематики. Программа, посвященная начинающим специалистам-океанографам (НСО) оказалась особенно эффективной в том, что касается вовлечения молодых специалистов в руководство, развитие потенциала и глобальные форумы. Взаимодействие с заинтересованными сторонами осталось на высоком уровне, при этом участников привлекали возможностью продвигать цели Десятилетия.</w:t>
      </w:r>
    </w:p>
    <w:p w14:paraId="2D537CD0" w14:textId="77777777" w:rsidR="00890A26" w:rsidRPr="00E408C7" w:rsidRDefault="00890A26" w:rsidP="00F85CAD">
      <w:pPr>
        <w:pStyle w:val="COI"/>
        <w:rPr>
          <w:rFonts w:cs="Arial"/>
          <w:lang w:val="ru"/>
        </w:rPr>
      </w:pPr>
      <w:r w:rsidRPr="00E408C7">
        <w:rPr>
          <w:lang w:val="ru"/>
        </w:rPr>
        <w:t>Мобилизация ресурсов продемонстрировала устойчивый прогресс, в частности, благодаря «Диалогу благотворительных фондов» и Альянсу в поддержку Десятилетия науки об океане, которые способствовали привлечению поддержки мероприятий в рамках Десятилетия и координации усилий со стороны благотворительных организаций и государств-членов. Новая платформа Ocean Matcher стала многообещающим инструментом для связи мероприятий с потенциальными спонсорами. Успешный опыт был получен в отношении вклада частного сектора, как в денежной, так и в натуральной форме, от таких партнеров, как Fugro, Uniqlo и Prada. Кроме того, появились дополнительные возможности для мобилизации ресурсов, в частности, благодаря Дорожной карте сотрудничества Европейской комиссии и МОК в рамках Десятилетия, содержащей важные направления как финансовой поддержки, так и поддержки в натуральной форме, в том числе посредством программы Horizon Europe и Миссии ЕС «Восстановление океана и вод».</w:t>
      </w:r>
    </w:p>
    <w:p w14:paraId="76E7F84C" w14:textId="77777777" w:rsidR="00890A26" w:rsidRPr="00E408C7" w:rsidRDefault="00890A26" w:rsidP="00F85CAD">
      <w:pPr>
        <w:pStyle w:val="COI"/>
        <w:rPr>
          <w:rFonts w:cs="Arial"/>
          <w:lang w:val="ru"/>
        </w:rPr>
      </w:pPr>
      <w:r w:rsidRPr="00E408C7">
        <w:rPr>
          <w:lang w:val="ru"/>
        </w:rPr>
        <w:t>В 93 странах были утверждены 641 мероприятие в рамках Десятилетия</w:t>
      </w:r>
      <w:r w:rsidRPr="00E408C7">
        <w:rPr>
          <w:rStyle w:val="FootnoteReference"/>
          <w:rFonts w:cs="Arial"/>
          <w:lang w:val="ru"/>
        </w:rPr>
        <w:footnoteReference w:id="1"/>
      </w:r>
      <w:r w:rsidRPr="00E408C7">
        <w:rPr>
          <w:lang w:val="ru"/>
        </w:rPr>
        <w:t>, большинство из которых было посвящено защите экосистемы и развитию потенциала. В процессе «Видение 2030» и его официальных документах было определено стратегическое направление работы во второй половине Десятилетия. Документ поддержал совместные усилия по разработке и предоставил инструменты для руководства будущими Запросами предложений. НКД некоторых стран, таких как Бельгия, Бенин, Индия, Новая Зеландия и Португалия, успешно согласовали инициативы в рамках Десятилетия с национальными приоритетами. Деятельность НСО и НПО начала способствовать вовлечению рядовых членов общества и реальному воздействию на окружающую среду.</w:t>
      </w:r>
    </w:p>
    <w:p w14:paraId="3C2D796A" w14:textId="77777777" w:rsidR="00890A26" w:rsidRPr="00E408C7" w:rsidRDefault="00890A26" w:rsidP="00F85CAD">
      <w:pPr>
        <w:pStyle w:val="COI"/>
        <w:rPr>
          <w:rFonts w:cs="Arial"/>
          <w:lang w:val="ru"/>
        </w:rPr>
      </w:pPr>
      <w:r w:rsidRPr="00E408C7">
        <w:rPr>
          <w:lang w:val="ru"/>
        </w:rPr>
        <w:t>Десятилетие привлекло большое внимание благодаря громким событиям, таким как Лиссабонская и Барселонская конференции, которые рассматривались заинтересованными сторонами как ключевые моменты для взаимодействия. Помимо повышения осведомленности, эти события сыграли роль платформы для взаимодействия между учеными, политиками и другими заинтересованными сторонами, создавая возможности для формирования политики и согласования научных результатов с национальными и глобальными приоритетами. Параллельно с ними последовательные усилия в области коммуникации посредством цифровой рекламы, вебинаров, кампаний под руководством НСО повышали осведомленность, усиливали узнаваемость и способствовали диалогу между различными аудиториями, включая молодежь и маргинализированные сообщества.</w:t>
      </w:r>
    </w:p>
    <w:p w14:paraId="3797B073" w14:textId="77777777" w:rsidR="00890A26" w:rsidRPr="00E408C7" w:rsidRDefault="00890A26" w:rsidP="00F85CAD">
      <w:pPr>
        <w:pStyle w:val="COI"/>
        <w:rPr>
          <w:rFonts w:cs="Arial"/>
          <w:lang w:val="ru"/>
        </w:rPr>
      </w:pPr>
      <w:r w:rsidRPr="00E408C7">
        <w:rPr>
          <w:rFonts w:cs="Arial"/>
          <w:lang w:val="ru"/>
        </w:rPr>
        <w:t xml:space="preserve">К концу первой половины Десятилетие начало демонстрировать первые результаты посредством реализации различных инициатив и мероприятий. В частности, Программа по цунами в рамках Десятилетия науки об океане привлекла более 450 миллионов долларов США и охватила миллионы людей благодаря усилиям по повышению готовности. Такие образовательные инициативы, как введение морских наук в школьное расписание в Чили, </w:t>
      </w:r>
      <w:r w:rsidRPr="00E408C7">
        <w:rPr>
          <w:rFonts w:cs="Arial"/>
          <w:lang w:val="ru"/>
        </w:rPr>
        <w:lastRenderedPageBreak/>
        <w:t xml:space="preserve">позволили повысить грамотность в связанных с океаном вопросах. Также был достигнут прогресс в продвижении открытых данных, операционной совместимости и систем мониторинга океана. </w:t>
      </w:r>
    </w:p>
    <w:p w14:paraId="5158F68E" w14:textId="77777777" w:rsidR="00890A26" w:rsidRPr="00E408C7" w:rsidRDefault="00890A26" w:rsidP="00F85CAD">
      <w:pPr>
        <w:pStyle w:val="COI"/>
        <w:rPr>
          <w:rFonts w:cs="Arial"/>
          <w:lang w:val="ru"/>
        </w:rPr>
      </w:pPr>
      <w:r w:rsidRPr="00E408C7">
        <w:rPr>
          <w:lang w:val="ru"/>
        </w:rPr>
        <w:t>Десятилетие сыграло ключевую роль в повышении стратегической значимости и актуальности ЮНЕСКО-МОК на мировой арене за счет продвижения междисциплинарных исследований и укрепления связей между наукой об океане и политикой. Оно способствовало позиционированию организации не только как координатора науки об океане, но и ключевой движущей силы система знаний об океане, заложив основу для расширенной руководящей роли после 2030 года.</w:t>
      </w:r>
    </w:p>
    <w:p w14:paraId="5CF78A10" w14:textId="77777777" w:rsidR="00890A26" w:rsidRPr="00E408C7" w:rsidRDefault="00890A26" w:rsidP="00F85CAD">
      <w:pPr>
        <w:tabs>
          <w:tab w:val="left" w:pos="709"/>
        </w:tabs>
        <w:spacing w:before="240" w:after="120"/>
        <w:jc w:val="both"/>
        <w:rPr>
          <w:rFonts w:cs="Arial"/>
          <w:i/>
          <w:iCs/>
          <w:u w:val="single"/>
          <w:lang w:val="ru"/>
        </w:rPr>
      </w:pPr>
      <w:r w:rsidRPr="00E408C7">
        <w:rPr>
          <w:rFonts w:cs="Arial"/>
          <w:i/>
          <w:iCs/>
          <w:u w:val="single"/>
          <w:lang w:val="ru"/>
        </w:rPr>
        <w:t>Ключевые области для улучшения с указанием рекомендаций</w:t>
      </w:r>
    </w:p>
    <w:p w14:paraId="1F7877E8" w14:textId="77777777" w:rsidR="00890A26" w:rsidRPr="00E408C7" w:rsidRDefault="00890A26" w:rsidP="00F85CAD">
      <w:pPr>
        <w:pStyle w:val="COI"/>
        <w:rPr>
          <w:rFonts w:cs="Arial"/>
        </w:rPr>
      </w:pPr>
      <w:r w:rsidRPr="00E408C7">
        <w:rPr>
          <w:lang w:val="ru"/>
        </w:rPr>
        <w:t>В Среднесрочной оценке определены несколько взаимосвязанных областей для улучшения, работа над которыми повысит способность Десятилетия реализовать свое видение. Эти области, как подчеркивается в выводах и заключениях, сделанных на основе разнообразной и всеобъемлющей совокупности доказательств, отражают системные и структурные соображения, требующие целенаправленного внимания для поддержания актуальности и эффективности Десятилетия, несмотря на нехватку ресурсов и сложный глобальный контекст, сформированный сменой национальных и региональных приоритетов и растущим давлением на многостороннюю систему.</w:t>
      </w:r>
    </w:p>
    <w:p w14:paraId="6B9CCEED" w14:textId="77777777" w:rsidR="00890A26" w:rsidRPr="00E408C7" w:rsidRDefault="00890A26" w:rsidP="00F85CAD">
      <w:pPr>
        <w:tabs>
          <w:tab w:val="left" w:pos="709"/>
        </w:tabs>
        <w:spacing w:before="240" w:after="120"/>
        <w:jc w:val="both"/>
        <w:rPr>
          <w:rFonts w:cs="Arial"/>
          <w:i/>
          <w:iCs/>
          <w:u w:val="single"/>
        </w:rPr>
      </w:pPr>
      <w:r w:rsidRPr="00E408C7">
        <w:rPr>
          <w:rFonts w:cs="Arial"/>
          <w:i/>
          <w:iCs/>
          <w:u w:val="single"/>
          <w:lang w:val="ru"/>
        </w:rPr>
        <w:t>Руководство и координация</w:t>
      </w:r>
    </w:p>
    <w:p w14:paraId="79BB5D85" w14:textId="77777777" w:rsidR="00890A26" w:rsidRPr="00E408C7" w:rsidRDefault="00890A26" w:rsidP="00890A26">
      <w:pPr>
        <w:pStyle w:val="COI"/>
        <w:rPr>
          <w:rFonts w:cs="Arial"/>
          <w:lang w:val="ru"/>
        </w:rPr>
      </w:pPr>
      <w:r w:rsidRPr="00E408C7">
        <w:rPr>
          <w:lang w:val="ru"/>
        </w:rPr>
        <w:t>Хотя ГКД продемонстрировал свою ведущую роль в условиях серьезных ограничений, его потенциал остается напряженным до предела, отчасти из-за сложной и раздробленной структуры координации. Запланированная децентрализованная поддержка ООН еще не полностью реализована. Существует возможность усилить координацию на всех уровнях и во всех партнерствах, одновременно прояснив функции, упростив процессы и улучшив согласованность с региональными и национальными структурами.</w:t>
      </w:r>
    </w:p>
    <w:p w14:paraId="23FFA83C" w14:textId="77777777" w:rsidR="00890A26" w:rsidRPr="00E408C7" w:rsidRDefault="00890A26" w:rsidP="00890A26">
      <w:pPr>
        <w:pStyle w:val="COI"/>
        <w:rPr>
          <w:rFonts w:cs="Arial"/>
          <w:lang w:val="ru"/>
        </w:rPr>
      </w:pPr>
      <w:r w:rsidRPr="00E408C7">
        <w:rPr>
          <w:rFonts w:cs="Arial"/>
          <w:lang w:val="ru"/>
        </w:rPr>
        <w:t>Несмотря на продемонстрированные примеры успешной работы, партнерские отношения между ГКД, МОК и более широкими структурами ЮНЕСКО требуют укрепления. Сохраняется ограниченность сотрудничества с подразделениями ЮНЕСКО на местах и другими структурами ООН, что, в свою очередь, ограничивает возможности целевой поддержки регионов и государств-членов, особенно тех, которые располагают скудными ресурсами. Кроме того, 61 % членов руководящих и координирующих органов находятся в Европе и Северной Америки, с минимальным представительством НРС и МОСРГ, что подчеркивает географический перекос, способный повлиять на инклюзивность и оперативность реагирования руководящих структур.</w:t>
      </w:r>
    </w:p>
    <w:p w14:paraId="21E5D573" w14:textId="77777777" w:rsidR="00890A26" w:rsidRPr="00E408C7" w:rsidRDefault="00890A26" w:rsidP="00890A26">
      <w:pPr>
        <w:pStyle w:val="COI"/>
        <w:rPr>
          <w:rFonts w:cs="Arial"/>
          <w:lang w:val="ru"/>
        </w:rPr>
      </w:pPr>
      <w:r w:rsidRPr="00E408C7">
        <w:rPr>
          <w:rFonts w:cs="Arial"/>
          <w:lang w:val="ru"/>
        </w:rPr>
        <w:t>Заинтересованные стороны призвали к более стратегическому взаимодействию со стороны ГКД, текущая структура и модели участия которого воспринимаются как ограничивающие его общую эффективность. Существует твердый консенсус, что ГКЦ мог бы увеличить свой вклад, более целенаправленно сосредоточившись на оптимизации стратегического руководства, управления и координации, мобилизации ресурсов, более сильном взаимодействии науки и политики и долгосрочном планировании наследия. Упрочнение взаимодействия между ГКД и децентрализованными механизмами, а также усиление присутствия и представленности ООН в ГКЦ были определены в качестве приоритетов для дальнейшего усовершенствования модели руководства Десятилетием и укрепления его идентичности как инициативы ООН.</w:t>
      </w:r>
    </w:p>
    <w:p w14:paraId="093A537B" w14:textId="77777777" w:rsidR="00890A26" w:rsidRPr="00E408C7" w:rsidRDefault="00890A26" w:rsidP="00F85CAD">
      <w:pPr>
        <w:tabs>
          <w:tab w:val="left" w:pos="709"/>
        </w:tabs>
        <w:spacing w:before="240" w:after="120"/>
        <w:jc w:val="both"/>
        <w:rPr>
          <w:rFonts w:cs="Arial"/>
          <w:i/>
          <w:iCs/>
          <w:u w:val="single"/>
        </w:rPr>
      </w:pPr>
      <w:r w:rsidRPr="00E408C7">
        <w:rPr>
          <w:rFonts w:cs="Arial"/>
          <w:i/>
          <w:iCs/>
          <w:u w:val="single"/>
          <w:lang w:val="ru"/>
        </w:rPr>
        <w:t>Мобилизация ресурсов</w:t>
      </w:r>
    </w:p>
    <w:p w14:paraId="1DA139BA" w14:textId="77777777" w:rsidR="00890A26" w:rsidRPr="00E408C7" w:rsidRDefault="00890A26" w:rsidP="00890A26">
      <w:pPr>
        <w:pStyle w:val="COI"/>
        <w:rPr>
          <w:rFonts w:cs="Arial"/>
          <w:lang w:val="ru"/>
        </w:rPr>
      </w:pPr>
      <w:r w:rsidRPr="00E408C7">
        <w:rPr>
          <w:rFonts w:cs="Arial"/>
          <w:lang w:val="ru"/>
        </w:rPr>
        <w:t xml:space="preserve">Хотя Десятилетие заложило важную основу для построения партнерских отношений и создания механизмов финансирования, мобилизация ресурсов остается широко распространенной проблемой. Всего 17 % опрошенных заинтересованных сторон оценили текущие усилия как эффективные. Оценка выявила потребность в более скоординированных </w:t>
      </w:r>
      <w:r w:rsidRPr="00E408C7">
        <w:rPr>
          <w:rFonts w:cs="Arial"/>
          <w:lang w:val="ru"/>
        </w:rPr>
        <w:lastRenderedPageBreak/>
        <w:t>стратегиях привлечения средств, расширении охвата благотворительных организаций и участников частного сектора, усилении взаимодействия с многосторонними банками развития (МБР) и другими международными финансовыми институтами (МФИ), а также национальными агентствами финансирования науки и инноваций и правительственными департаментами, наряду с большим вниманием к региональным приоритетам, в частности, для НРС и МОСРГ, требующих более высокого уровня поддержки для участия и реализации мероприятий.</w:t>
      </w:r>
    </w:p>
    <w:p w14:paraId="4D305635" w14:textId="77777777" w:rsidR="00890A26" w:rsidRPr="00E408C7" w:rsidRDefault="00890A26" w:rsidP="00890A26">
      <w:pPr>
        <w:pStyle w:val="COI"/>
        <w:rPr>
          <w:rFonts w:cs="Arial"/>
          <w:lang w:val="ru"/>
        </w:rPr>
      </w:pPr>
      <w:r w:rsidRPr="00E408C7">
        <w:rPr>
          <w:rFonts w:cs="Arial"/>
          <w:lang w:val="ru"/>
        </w:rPr>
        <w:t>Ряд взаимосвязанных препятствий продолжает сдерживать эффективность мобилизации ресурсов. Среди них: низкий уровень внимания к Десятилетию со стороны потенциальных спонсоров, конкурирующие приоритеты доноров, которые могут не быть связанными с наукой об океане, и потребность в более эффективной координации усилий по мобилизации ресурсов в поддержку Десятилетия и мероприятий в рамках Десятилетия.</w:t>
      </w:r>
    </w:p>
    <w:p w14:paraId="52680D96" w14:textId="77777777" w:rsidR="00890A26" w:rsidRPr="00E408C7" w:rsidRDefault="00890A26" w:rsidP="00890A26">
      <w:pPr>
        <w:pStyle w:val="COI"/>
        <w:rPr>
          <w:rFonts w:cs="Arial"/>
          <w:lang w:val="ru"/>
        </w:rPr>
      </w:pPr>
      <w:r w:rsidRPr="00E408C7">
        <w:rPr>
          <w:rFonts w:cs="Arial"/>
          <w:lang w:val="ru"/>
        </w:rPr>
        <w:t>Что еще более важно, оценка позволила определить, что усилия по мобилизации ресурсов должны быть более четко согласованы с потребностями, задачами и приоритетами государств-членов и лучше доносить реальную ценность науки об океане, в частности, ее роли в решении насущных проблем, таких как продовольственная безопасность, устойчивость прибрежных районов и благополучие сообществ. Факты свидетельствуют о том, что больший акцент на ощутимое влияние науки и знаний об океане, подкрепленный данными и результатами достижений и мероприятий в рамках Десятилетия, поможет укрепить как аргументы в пользу финансирования, так и заинтересованность со стороны широкого круга лиц и организаций, способных оказать финансовую поддержку и поддержку в натуральной форме.</w:t>
      </w:r>
    </w:p>
    <w:p w14:paraId="7CDE27A1" w14:textId="77777777" w:rsidR="00890A26" w:rsidRPr="00E408C7" w:rsidRDefault="00890A26" w:rsidP="00F85CAD">
      <w:pPr>
        <w:tabs>
          <w:tab w:val="left" w:pos="709"/>
        </w:tabs>
        <w:spacing w:before="240" w:after="120"/>
        <w:jc w:val="both"/>
        <w:rPr>
          <w:rFonts w:cs="Arial"/>
          <w:i/>
          <w:iCs/>
          <w:u w:val="single"/>
        </w:rPr>
      </w:pPr>
      <w:r w:rsidRPr="00E408C7">
        <w:rPr>
          <w:rFonts w:cs="Arial"/>
          <w:i/>
          <w:iCs/>
          <w:u w:val="single"/>
          <w:lang w:val="ru"/>
        </w:rPr>
        <w:t>Распространение науки и знаний</w:t>
      </w:r>
    </w:p>
    <w:p w14:paraId="71A33A28" w14:textId="77777777" w:rsidR="00890A26" w:rsidRPr="00E408C7" w:rsidRDefault="00890A26" w:rsidP="00890A26">
      <w:pPr>
        <w:pStyle w:val="COI"/>
        <w:rPr>
          <w:rFonts w:cs="Arial"/>
          <w:lang w:val="ru"/>
        </w:rPr>
      </w:pPr>
      <w:r w:rsidRPr="00E408C7">
        <w:rPr>
          <w:rFonts w:cs="Arial"/>
          <w:lang w:val="ru"/>
        </w:rPr>
        <w:t>Оценка выявила необходимость в более сбалансированном распространении науки и знаний в регионах, учреждениях и областях Приоритетных задач Десятилетия науки об океане. Из 641 утвержденного мероприятия в рамках Десятилетия большинство (68 %) приходится на Европу и Северную Америку, а довольно ограниченное количество на НРС (1 %), МОСРГ (3 %) и другие недостаточно представленные регионы. Участие частного сектора и учреждений ООН, не входящих в ЮНЕСКО-МОК, также остается скромным. Кроме того, распределение мероприятий в рамках Десятилетия между 10 Приоритетными задачами не равномерно: от 318 мероприятий по Приоритетной задаче 2 «Защита и восстановление экосистем и биоразнообразия» до всего 98 по Приоритетной задаче 6 «Повышение устойчивости общин к океаническим и прибрежным рискам».</w:t>
      </w:r>
    </w:p>
    <w:p w14:paraId="1DFAF550" w14:textId="77777777" w:rsidR="00890A26" w:rsidRPr="00E408C7" w:rsidRDefault="00890A26" w:rsidP="00890A26">
      <w:pPr>
        <w:pStyle w:val="COI"/>
        <w:rPr>
          <w:rFonts w:cs="Arial"/>
          <w:lang w:val="ru"/>
        </w:rPr>
      </w:pPr>
      <w:r w:rsidRPr="00E408C7">
        <w:rPr>
          <w:rFonts w:cs="Arial"/>
          <w:lang w:val="ru"/>
        </w:rPr>
        <w:t>Хотя широко признано, что Десятилетие внесло наибольший вклад в повышение глобальной осведомленности о проблемах океана, укрепление сотрудничества в области океанографии и расширение коммуникационных сетей, такие области, как включение различных систем знаний, мобилизация ресурсов для исследований и влияние на национальную политику, рассматриваются как требующие дальнейшего прогресса. Восприятие общего прогресса заинтересованными сторонами остается смешанным, особенно среди участников координирующих структур, долгосрочных участников Десятилетия с момента его разработки или запуска и научного сообщества, многие из которых оценили прогресс как умеренный, ограниченный или минимальный. Было выявлено несколько регулярно возникающих проблем, сдерживающих прогресс, включая мобилизацию ресурсов, взаимодействие с заинтересованными сторонами, информированность общественности и соответствие национальным приоритетам.</w:t>
      </w:r>
    </w:p>
    <w:p w14:paraId="3FA1BD61" w14:textId="77777777" w:rsidR="00890A26" w:rsidRPr="00E408C7" w:rsidRDefault="00890A26" w:rsidP="00890A26">
      <w:pPr>
        <w:pStyle w:val="COI"/>
        <w:rPr>
          <w:rFonts w:cs="Arial"/>
          <w:lang w:val="ru"/>
        </w:rPr>
      </w:pPr>
      <w:r w:rsidRPr="00E408C7">
        <w:rPr>
          <w:rFonts w:cs="Arial"/>
          <w:lang w:val="ru"/>
        </w:rPr>
        <w:t xml:space="preserve">Были выявлены некоторые проблемы, связанные с подачей заявок и управлением мероприятиями в рамках Десятилетия. Основными из них стали длительные сроки утверждения и критерии, которые воспринимаются некоторыми заинтересованными сторонами как нечеткие, наряду с распространенным заблуждением о том, что утверждение гарантирует финансирование. Ограниченные возможности ориентирования в процессе подачи заявок в НРС, МОСРГ и таких регионах, как Африка и арабские государства, </w:t>
      </w:r>
      <w:r w:rsidRPr="00E408C7">
        <w:rPr>
          <w:rFonts w:cs="Arial"/>
          <w:lang w:val="ru"/>
        </w:rPr>
        <w:lastRenderedPageBreak/>
        <w:t xml:space="preserve">способствуют региональному дисбалансу и ограничивают способность решить связанные с океаном проблемы с помощью науки и знаний. С точки зрения управления, отсутствие механизма, связанного с эффективной базой данных для выявления совпадений, в сочетании с ограниченным функционалом поиска и фильтрации на веб-сайте Десятилетия затрудняет координацию и развитие взаимодействия. Хотя децентрализованный обзор и одобрение Действий пилотными НКД выглядят многообещающе, масштабирование по-прежнему сдерживается ограничениями потенциала в странах с дефицитом ресурсов. Хотя некоторые заинтересованные стороны относят эти и подобные им задачи к более широким системным проблемам в этих контекстах, данные свидетельствуют о том, что целенаправленные вмешательства могут стимулировать позитивные преобразования и помочь устранить структурные и системные препятствия, как показано в практических примерах, включенных в отчет. Кроме того, недостаточная представленность социальных наук, зачастую ограниченная лишь грамотностью в связанных с океаном вопросах, сокращает потенциал мероприятий в рамках Десятилетия для разработки политики и создания более широкого общественного резонанса. </w:t>
      </w:r>
    </w:p>
    <w:p w14:paraId="3AEAF85F" w14:textId="77777777" w:rsidR="00890A26" w:rsidRPr="00E408C7" w:rsidRDefault="00890A26" w:rsidP="00890A26">
      <w:pPr>
        <w:pStyle w:val="COI"/>
        <w:rPr>
          <w:rFonts w:cs="Arial"/>
          <w:lang w:val="ru"/>
        </w:rPr>
      </w:pPr>
      <w:r w:rsidRPr="00E408C7">
        <w:rPr>
          <w:rFonts w:cs="Arial"/>
          <w:lang w:val="ru"/>
        </w:rPr>
        <w:t xml:space="preserve">По мере приближения середины Десятилетия растут ожидания в отношении большей вовлеченности политиков в использование науки и знаний, созданных мероприятиями в рамках Десятилетия, для разработки национальных и международных политик, политических дебатов и процессов принятия решения. Данные, собранные с помощью различных методов оценки, свидетельствуют о том, что взаимодействие политики и Десятилетия остается неравномерным в разных регионах с постепенным снижением результатов, связанных с политикой, что отражает более широкую потерю импульса в этой области. Этому способствуют ограниченные усилия по совместной разработке мероприятий, включая недостаточное использование ресурсов ГКЦ, предоставленных для совместной разработки, и нехватка доступных инструментов для политических контактов, таких как информационные панели и аналитические записки. Хотя такие громкие события, как Барселонская конференция, успешно привлекли внимание политиков, устойчивое участие остается ограниченным, особенно для недостаточно представленных регионов, что опять же связано с проблемами потенциала и ресурсов. </w:t>
      </w:r>
    </w:p>
    <w:p w14:paraId="63472EF3" w14:textId="77777777" w:rsidR="00890A26" w:rsidRPr="00E408C7" w:rsidRDefault="00890A26" w:rsidP="00890A26">
      <w:pPr>
        <w:pStyle w:val="COI"/>
        <w:rPr>
          <w:rFonts w:cs="Arial"/>
          <w:lang w:val="ru"/>
        </w:rPr>
      </w:pPr>
      <w:r w:rsidRPr="00E408C7">
        <w:rPr>
          <w:rFonts w:cs="Arial"/>
          <w:lang w:val="ru"/>
        </w:rPr>
        <w:t>Оценка подчеркнула важность того, чтобы наука и знания, полученные в результате мероприятий в рамках Десятилетия, не только создавались, но и эффективно применялись в инновационных экосистемах и решениях на уровне сообществ. В поддержку этого тезиса факты указывают на необходимость более структурированного подхода, содействующего передаче, масштабированию и контекстуализации этих результатов. Эта необходимость особенно актуальна для НРС, МОСРГ и других недостаточно представленных регионов, в которых заинтересованные стороны сталкиваются с проблемами в получении и адаптации соответствующих знаний, инноваций, инструментов и технологий. Кроме того, НСО, будучи активно вовлеченными, довольно ограничены в возможностях применения приобретенных во время Десятилетия навыков в практических, ориентированных на решения условиях. Поскольку Десятилетие вступает во вторую половину, оценка выявила своевременную возможность повышения доступности и практического применения результатов, поддерживающих инновации, прикладной эффект и долгосрочную ценность в регионах и секторах посредством более структурированных подходов к передаче знаний и технологий.</w:t>
      </w:r>
    </w:p>
    <w:p w14:paraId="3CE10355" w14:textId="77777777" w:rsidR="00890A26" w:rsidRPr="00E408C7" w:rsidRDefault="00890A26" w:rsidP="00F85CAD">
      <w:pPr>
        <w:tabs>
          <w:tab w:val="left" w:pos="709"/>
        </w:tabs>
        <w:spacing w:before="240" w:after="120"/>
        <w:jc w:val="both"/>
        <w:rPr>
          <w:rFonts w:cs="Arial"/>
          <w:i/>
          <w:iCs/>
          <w:u w:val="single"/>
          <w:lang w:val="ru"/>
        </w:rPr>
      </w:pPr>
      <w:r w:rsidRPr="00E408C7">
        <w:rPr>
          <w:rFonts w:cs="Arial"/>
          <w:i/>
          <w:iCs/>
          <w:u w:val="single"/>
          <w:lang w:val="ru"/>
        </w:rPr>
        <w:t>ООН-Океаны и более широкое участие ООН</w:t>
      </w:r>
    </w:p>
    <w:p w14:paraId="1F49B2AA" w14:textId="77777777" w:rsidR="00890A26" w:rsidRPr="00E408C7" w:rsidRDefault="00890A26" w:rsidP="00890A26">
      <w:pPr>
        <w:pStyle w:val="COI"/>
        <w:rPr>
          <w:rFonts w:cs="Arial"/>
          <w:lang w:val="ru"/>
        </w:rPr>
      </w:pPr>
      <w:r w:rsidRPr="00E408C7">
        <w:rPr>
          <w:rFonts w:cs="Arial"/>
          <w:lang w:val="ru"/>
        </w:rPr>
        <w:t xml:space="preserve">В первой половине Десятилетия взаимодействие между МОК и структурами ООН, не входящими в ЮНЕСКО, было ограниченным, что представляет собой хорошую возможность расширения участия учреждений системы ООН во второй половине. Данные свидетельствуют об ограничениях, касающихся коммуникации, которые способствовали созданию неопределенности в отношении участия в Десятилетии и его мероприятиях. Налаживание регулярной коммуникации через ООН-Океаны и другие соответствующие платформы ООН было расценено как многообещающая возможность прояснить ожидания, упростить координацию и стимулировать участие путем согласования текущих и запланированных усилий, связанных с океаном, с рамками Десятилетия. Выводы указывают на то, что </w:t>
      </w:r>
      <w:r w:rsidRPr="00E408C7">
        <w:rPr>
          <w:rFonts w:cs="Arial"/>
          <w:lang w:val="ru"/>
        </w:rPr>
        <w:lastRenderedPageBreak/>
        <w:t>повышение информированности и расширение участия учреждений ООН позволят укрепить идентичность Десятилетия как коллективной инициативы ООН и помогут максимально расширить его охват и общий результат.</w:t>
      </w:r>
    </w:p>
    <w:p w14:paraId="6957F4FA" w14:textId="77777777" w:rsidR="00890A26" w:rsidRPr="00E408C7" w:rsidRDefault="00890A26" w:rsidP="00890A26">
      <w:pPr>
        <w:pStyle w:val="COI"/>
        <w:rPr>
          <w:rFonts w:cs="Arial"/>
          <w:lang w:val="ru"/>
        </w:rPr>
      </w:pPr>
      <w:r w:rsidRPr="00E408C7">
        <w:rPr>
          <w:rFonts w:cs="Arial"/>
          <w:lang w:val="ru"/>
        </w:rPr>
        <w:t>Оценка показала, что во второй половине Десятилетия приоритет будет отдан проблемам, связанным с изменением климата, загрязнением океана и глубоководной морской добычей, как требующим наибольшего внимания. Эффективное решение этих и других насущных проблем потребует более тесного сотрудничества в рамках всей системы ООН, особенно в контексте эскалации конфликтов, сокращения ресурсов и ослабления внимания к проблемам устойчивости. Укрепление координации с соответствующими учреждениями и механизмами ООН, такими как Офисы постоянных координаторов ООН (ОПК-ООН), Глобальный договор ООН, Коалиции по конкретным вопросам и Межведомственная рабочая группа по вопросам науки, технологий и инноваций (НТИ) для ЦУР, наряду с более тесной увязкой с другими Десятилетиями ООН, является критически важным для расширения охвата Десятилетия и содействия его реализации. Такие партнерства также могут служить стратегическими точками входа на национальном уровне, включая министерства финансов, образования, науки, сельского хозяйства и энергетики, помогая согласовать усилия с более широкими повестками дня в области развития и распределения ресурсов, одновременно глубже внедряя приоритеты океана в межсекторальные инициативы, политики и политические меры.</w:t>
      </w:r>
    </w:p>
    <w:p w14:paraId="6E5E1720" w14:textId="77777777" w:rsidR="00890A26" w:rsidRPr="00E408C7" w:rsidRDefault="00890A26" w:rsidP="00F85CAD">
      <w:pPr>
        <w:tabs>
          <w:tab w:val="left" w:pos="709"/>
        </w:tabs>
        <w:spacing w:before="240" w:after="120"/>
        <w:jc w:val="both"/>
        <w:rPr>
          <w:rFonts w:cs="Arial"/>
          <w:i/>
          <w:iCs/>
          <w:u w:val="single"/>
        </w:rPr>
      </w:pPr>
      <w:r w:rsidRPr="00E408C7">
        <w:rPr>
          <w:rFonts w:cs="Arial"/>
          <w:i/>
          <w:iCs/>
          <w:u w:val="single"/>
          <w:lang w:val="ru"/>
        </w:rPr>
        <w:t>Инклюзивность, разнообразие и равенство</w:t>
      </w:r>
    </w:p>
    <w:p w14:paraId="2AAA0D94" w14:textId="77777777" w:rsidR="00890A26" w:rsidRPr="00E408C7" w:rsidRDefault="00890A26" w:rsidP="00890A26">
      <w:pPr>
        <w:pStyle w:val="COI"/>
        <w:rPr>
          <w:rFonts w:cs="Arial"/>
          <w:lang w:val="ru"/>
        </w:rPr>
      </w:pPr>
      <w:r w:rsidRPr="00E408C7">
        <w:rPr>
          <w:rFonts w:cs="Arial"/>
          <w:lang w:val="ru"/>
        </w:rPr>
        <w:t>Оценка показала, что усилия по содействию инклюзивности, разнообразия и равенства набирают обороты. Положительным примером служит привлечение молодежи, в частности, через инициативы под руководством НСО. Однако отзывы заинтересованных сторон и результаты опроса указывают на неравенство в различных группах, включая МОСРГ, НРС, женщин, коренные народы и развивающиеся страны. Двигаясь вперед, существует возможность расширить и углубить инклюзивность на всех уровнях взаимодействия в рамках Десятилетия.</w:t>
      </w:r>
    </w:p>
    <w:p w14:paraId="58D7B06B" w14:textId="77777777" w:rsidR="00890A26" w:rsidRPr="00E408C7" w:rsidRDefault="00890A26" w:rsidP="00890A26">
      <w:pPr>
        <w:pStyle w:val="COI"/>
        <w:rPr>
          <w:rFonts w:cs="Arial"/>
          <w:lang w:val="ru"/>
        </w:rPr>
      </w:pPr>
      <w:r w:rsidRPr="00E408C7">
        <w:rPr>
          <w:rFonts w:cs="Arial"/>
          <w:lang w:val="ru"/>
        </w:rPr>
        <w:t>Несмотря на положительную динамику, некоторые факторы продолжают ограничивать полное участие недостаточно представленных групп. К ним относятся ограниченные ресурсы, ограниченный охват неанглоговорящих сообществ и сосредоточенность руководства различными мероприятиями и структурами Десятилетия в учреждениях стран с более высоким уровнем дохода. Заинтересованные стороны также отметили необходимость целевых инициатив по обучению, наставничеству и расширению прав и возможностей для поддержки более равноправного участия.</w:t>
      </w:r>
    </w:p>
    <w:p w14:paraId="6597E7EA" w14:textId="77777777" w:rsidR="00890A26" w:rsidRPr="00E408C7" w:rsidRDefault="00890A26" w:rsidP="00F85CAD">
      <w:pPr>
        <w:tabs>
          <w:tab w:val="left" w:pos="709"/>
        </w:tabs>
        <w:spacing w:before="240" w:after="120"/>
        <w:jc w:val="both"/>
        <w:rPr>
          <w:rFonts w:cs="Arial"/>
          <w:i/>
          <w:iCs/>
          <w:u w:val="single"/>
        </w:rPr>
      </w:pPr>
      <w:r w:rsidRPr="00E408C7">
        <w:rPr>
          <w:rFonts w:cs="Arial"/>
          <w:i/>
          <w:iCs/>
          <w:u w:val="single"/>
          <w:lang w:val="ru"/>
        </w:rPr>
        <w:t>Информационная и пропагандистская деятельность</w:t>
      </w:r>
    </w:p>
    <w:p w14:paraId="0FA8DD31" w14:textId="77777777" w:rsidR="00890A26" w:rsidRPr="00E408C7" w:rsidRDefault="00890A26" w:rsidP="00890A26">
      <w:pPr>
        <w:pStyle w:val="COI"/>
        <w:rPr>
          <w:rFonts w:cs="Arial"/>
          <w:lang w:val="ru"/>
        </w:rPr>
      </w:pPr>
      <w:r w:rsidRPr="00E408C7">
        <w:rPr>
          <w:rFonts w:cs="Arial"/>
          <w:lang w:val="ru"/>
        </w:rPr>
        <w:t>Согласно данным, чаще всего заинтересованные стороны узнавали о Десятилетии по неофициальным каналам, таким как профессиональные сети и личные контакты, что подчеркивает силу коммуникации между субъектами одного уровня. И напротив, официальные каналы, такие как веб-сайт Десятилетия, новостные рассылки и социальные сети обладают сравнительно меньшей значимостью среди тех, кто еще не участвует в Десятилетии. Отраслевые ассоциации и профессиональные органы оказались среди источников, реже всего упоминаемых участниками оценки, что указывает на ценную возможность расширить охват Десятилетия на более разнообразные и в настоящее время недостаточно представленные группы заинтересованных сторон.</w:t>
      </w:r>
    </w:p>
    <w:p w14:paraId="5C3A6AD4" w14:textId="77777777" w:rsidR="00890A26" w:rsidRPr="00E408C7" w:rsidRDefault="00890A26" w:rsidP="00890A26">
      <w:pPr>
        <w:pStyle w:val="COI"/>
        <w:rPr>
          <w:rFonts w:cs="Arial"/>
          <w:lang w:val="ru"/>
        </w:rPr>
      </w:pPr>
      <w:r w:rsidRPr="00E408C7">
        <w:rPr>
          <w:rFonts w:cs="Arial"/>
          <w:lang w:val="ru"/>
        </w:rPr>
        <w:t xml:space="preserve">Недостаточно представленные группы, такие как НРС, МОСРГ, молодежь, развивающиеся страны, коренные народы и женщины, получат наибольшую выгоду от улучшения информационной и пропагандистской деятельности в рамках Десятилетия. Несмотря на то, что цифровые платформы и социальные сети помогли расширить охват, языковой барьер, неравный доступ к цифровым возможностям, а также ограничения, связанные с финансами и навыками, продолжают сдерживать участие представителей этих </w:t>
      </w:r>
      <w:r w:rsidRPr="00E408C7">
        <w:rPr>
          <w:rFonts w:cs="Arial"/>
          <w:lang w:val="ru"/>
        </w:rPr>
        <w:lastRenderedPageBreak/>
        <w:t>групп. В ответ заинтересованные стороны подчеркнули ценность каналов, доступных на местном уровне, включая общественное радио, влиятельных лиц, исполнителей и благотворительные организации, особенно в неанглоговорящих и неблагополучных регионах. Выводы оценки свидетельствуют о том, что диверсификация форматов и платформ поможет поощрить ответственность на местном уровне и расширить влияние Десятилетия на рядовых членов общества.</w:t>
      </w:r>
    </w:p>
    <w:p w14:paraId="4821328A" w14:textId="77777777" w:rsidR="00890A26" w:rsidRPr="00E408C7" w:rsidRDefault="00890A26" w:rsidP="00F85CAD">
      <w:pPr>
        <w:tabs>
          <w:tab w:val="left" w:pos="709"/>
        </w:tabs>
        <w:spacing w:before="240" w:after="120"/>
        <w:jc w:val="both"/>
        <w:rPr>
          <w:rFonts w:cs="Arial"/>
          <w:i/>
          <w:iCs/>
          <w:u w:val="single"/>
          <w:lang w:val="ru"/>
        </w:rPr>
      </w:pPr>
      <w:r w:rsidRPr="00E408C7">
        <w:rPr>
          <w:rFonts w:cs="Arial"/>
          <w:i/>
          <w:iCs/>
          <w:u w:val="single"/>
          <w:lang w:val="ru"/>
        </w:rPr>
        <w:t>Мониторинг, оценка и обучение (МОО)</w:t>
      </w:r>
    </w:p>
    <w:p w14:paraId="3C9CA4B6" w14:textId="77777777" w:rsidR="00890A26" w:rsidRPr="00E408C7" w:rsidRDefault="00890A26" w:rsidP="00890A26">
      <w:pPr>
        <w:pStyle w:val="COI"/>
        <w:rPr>
          <w:rFonts w:cs="Arial"/>
          <w:lang w:val="ru"/>
        </w:rPr>
      </w:pPr>
      <w:r w:rsidRPr="00E408C7">
        <w:rPr>
          <w:rFonts w:cs="Arial"/>
          <w:lang w:val="ru"/>
        </w:rPr>
        <w:t xml:space="preserve">Поскольку Десятилетие вступает во вторую половину, появляется очевидная возможность развития существующих рамок мониторинга и оценки (МО) в более стратегическую систему МОО, основанную на резлуьтатах, не только для отслеживания прогресса и демонстрации результатов и последствий, но и для поддержки критически важных инициатив, таких как мобилизация ресурсов и политическое взаимодействие, путем предоставления надежных сведений на основе данных. Усиленная система МОО могла бы способствовать адаптивному обучению, направлять стратегические решения и усиливать подотчетность заинтересованных сторон. Хотя существующая структура оказалась эффективной для отслеживания оперативных результатов, данные свидетельствуют о том, что она дает ограниченное представление о прогрессе в отношении более широких целей Десятилетия и выиграет от механизмов, лучше фиксирующих результаты в масштабе. </w:t>
      </w:r>
    </w:p>
    <w:p w14:paraId="6067A605" w14:textId="77777777" w:rsidR="00890A26" w:rsidRPr="00E408C7" w:rsidRDefault="00890A26" w:rsidP="00890A26">
      <w:pPr>
        <w:pStyle w:val="COI"/>
        <w:rPr>
          <w:rFonts w:cs="Arial"/>
          <w:lang w:val="ru"/>
        </w:rPr>
      </w:pPr>
      <w:r w:rsidRPr="00E408C7">
        <w:rPr>
          <w:rFonts w:cs="Arial"/>
          <w:lang w:val="ru"/>
        </w:rPr>
        <w:t>Данные демонстрируют важность повышения прозрачности в процессе МОО и создания более прочной петли обратной связи для сохранения взаимодействия заинтересованных сторон и поддержки совместного обучения. Для дальнейшего укрепления стратегической значимости Десятилетия необходимо разъяснение основных мероприятий и предполагаемых результатов Десятилетия с помощью теории перемен и уточнение показателей для лучшей фиксации результатов.</w:t>
      </w:r>
    </w:p>
    <w:p w14:paraId="0358E7BC" w14:textId="7FA61DCE" w:rsidR="00890A26" w:rsidRPr="00E408C7" w:rsidRDefault="00890A26" w:rsidP="00890A26">
      <w:pPr>
        <w:tabs>
          <w:tab w:val="left" w:pos="709"/>
        </w:tabs>
        <w:spacing w:before="120" w:after="120"/>
        <w:jc w:val="both"/>
        <w:rPr>
          <w:rFonts w:cs="Arial"/>
          <w:i/>
          <w:iCs/>
          <w:u w:val="single"/>
        </w:rPr>
      </w:pPr>
      <w:r w:rsidRPr="00E408C7">
        <w:rPr>
          <w:rFonts w:cs="Arial"/>
          <w:i/>
          <w:iCs/>
          <w:u w:val="single"/>
          <w:lang w:val="ru"/>
        </w:rPr>
        <w:t>Позиционирование МОК после 2030 года</w:t>
      </w:r>
    </w:p>
    <w:p w14:paraId="211EC459" w14:textId="04BEC994" w:rsidR="00890A26" w:rsidRPr="00E408C7" w:rsidRDefault="00890A26" w:rsidP="00890A26">
      <w:pPr>
        <w:pStyle w:val="COI"/>
        <w:rPr>
          <w:rFonts w:cs="Arial"/>
          <w:lang w:val="ru"/>
        </w:rPr>
      </w:pPr>
      <w:r w:rsidRPr="00E408C7">
        <w:rPr>
          <w:rFonts w:cs="Arial"/>
          <w:lang w:val="ru"/>
        </w:rPr>
        <w:t>Опираясь на импульс, созданный Десятилетием, ЮНЕСКО-МОК имеет все возможности играть более широкую стратегическую роль, согласованную с глобальными повестками дня в области развития, создавая возможность для преобразования своих основных программ и укрепления своей лидерской позиции в области науки об океане после 2030 года. Данные свидетельствуют о том, что реализация этого потенциала будет зависеть от решения ключевых проблем, включая ограниченность ресурсов, неравномерное региональное участие и необходимость усиления руководства и координации. Результаты также подчеркнули важность расширения взаимодействия с другими учреждениями системы ООН, продвижения платформ, таких как Международная платформа по вопросам устойчивости океана, и внедрение разнообразных систем знаний для разработки более инклюзивных и результативных стратегий в области океана.</w:t>
      </w:r>
    </w:p>
    <w:p w14:paraId="55397938" w14:textId="33EDEDCA" w:rsidR="00890A26" w:rsidRPr="00E408C7" w:rsidRDefault="00890A26" w:rsidP="00890A26">
      <w:pPr>
        <w:pStyle w:val="Heading3"/>
        <w:rPr>
          <w:lang w:val="ru"/>
        </w:rPr>
      </w:pPr>
      <w:r w:rsidRPr="00E408C7">
        <w:rPr>
          <w:lang w:val="ru"/>
        </w:rPr>
        <w:t>Основные рекомендации</w:t>
      </w:r>
    </w:p>
    <w:p w14:paraId="7F39FC43" w14:textId="77777777" w:rsidR="00890A26" w:rsidRPr="00E408C7" w:rsidRDefault="00890A26" w:rsidP="00890A26">
      <w:pPr>
        <w:spacing w:after="120"/>
        <w:jc w:val="both"/>
        <w:rPr>
          <w:rFonts w:cs="Arial"/>
          <w:i/>
          <w:iCs/>
          <w:u w:val="single"/>
          <w:lang w:val="ru"/>
        </w:rPr>
      </w:pPr>
      <w:r w:rsidRPr="00E408C7">
        <w:rPr>
          <w:rFonts w:cs="Arial"/>
          <w:i/>
          <w:iCs/>
          <w:u w:val="single"/>
          <w:lang w:val="ru"/>
        </w:rPr>
        <w:t>Основа и контекст для рекомендаций</w:t>
      </w:r>
    </w:p>
    <w:p w14:paraId="6E8FA29A" w14:textId="77777777" w:rsidR="00890A26" w:rsidRPr="00E408C7" w:rsidRDefault="00890A26" w:rsidP="00890A26">
      <w:pPr>
        <w:pStyle w:val="COI"/>
        <w:rPr>
          <w:rFonts w:cs="Arial"/>
          <w:lang w:val="ru"/>
        </w:rPr>
      </w:pPr>
      <w:r w:rsidRPr="00E408C7">
        <w:rPr>
          <w:rFonts w:cs="Arial"/>
          <w:lang w:val="ru"/>
        </w:rPr>
        <w:t>Оценка подтверждает, что видение и результаты Десятилетия ООН, посвященного науке об океане, нашли глубокий отклик во всех секторах, мобилизовав тысячи заинтересованных сторон и создав импульс, который значительно превзошел первоначальные ожидания. Это широкое взаимодействие привлекло внимание к Десятилетию и повысило его амбициозность на мировой арене. В то же время оно выявило проблему в согласовании масштаба этих амбиций с текущим потенциалом, ресурсами, возможностями руководства и имеющимися механизмами координации для их реализации.</w:t>
      </w:r>
    </w:p>
    <w:p w14:paraId="175DEF59" w14:textId="77777777" w:rsidR="00890A26" w:rsidRPr="00E408C7" w:rsidRDefault="00890A26" w:rsidP="00890A26">
      <w:pPr>
        <w:pStyle w:val="COI"/>
        <w:rPr>
          <w:rFonts w:cs="Arial"/>
          <w:lang w:val="ru"/>
        </w:rPr>
      </w:pPr>
      <w:r w:rsidRPr="00E408C7">
        <w:rPr>
          <w:rFonts w:cs="Arial"/>
          <w:lang w:val="ru"/>
        </w:rPr>
        <w:t xml:space="preserve">Выводы указывают на критический момент в траектории Десятилетия: точка перегиба, требующая обновления ориентира, адаптации стратегии и усиления институциональных рамок для обеспечения соответствия масштабу и быстрого реагирования на возникающие проблемы, связанные с океаном. Эта потребность дополнительно обусловлена сменой </w:t>
      </w:r>
      <w:r w:rsidRPr="00E408C7">
        <w:rPr>
          <w:rFonts w:cs="Arial"/>
          <w:lang w:val="ru"/>
        </w:rPr>
        <w:lastRenderedPageBreak/>
        <w:t>глобального контекста, характеризующегося снижением внимания к устойчивому развитию, ограниченными ресурсами, которые становятся еще более ограниченными в результате сокращения финансирования со стороны основных доноров, таких как США, которые на протяжении многих лет оказывали значительную поддержку инициативам, связанным с океаном, а также растущим геополитическим напряжением. Такое внешнее давление хотя и осложняет путь вперед, усиливает актуальность и необходимость Десятилетия как объединяющей структуры для защиты океана, а также сообществ и экосистем, которые он поддерживает.</w:t>
      </w:r>
    </w:p>
    <w:p w14:paraId="09B3F77C" w14:textId="77777777" w:rsidR="00890A26" w:rsidRPr="00E408C7" w:rsidRDefault="00890A26" w:rsidP="00890A26">
      <w:pPr>
        <w:pStyle w:val="COI"/>
        <w:rPr>
          <w:rFonts w:cs="Arial"/>
          <w:lang w:val="ru"/>
        </w:rPr>
      </w:pPr>
      <w:r w:rsidRPr="00E408C7">
        <w:rPr>
          <w:rFonts w:cs="Arial"/>
          <w:lang w:val="ru"/>
        </w:rPr>
        <w:t>Несмотря на эти ограничения, Десятилетие уже почти достигло значительного прогресса в продвижении более инклюзивной и результативной повестки дня в области науки об океане. Дух сотрудничества, приверженность и стремление, продемонстрированные группами заинтересованных сторон, формируют прочную основу для более глубоких преобразований во второй половине Десятилетия. Представленные ниже рекомендации основаны на данных, собранных в ходе оценки, и отражают как основные уроки, полученные в течение первых пяти лет, так и амбиции в отношении наследия Десятилетия после 2030 года.</w:t>
      </w:r>
    </w:p>
    <w:p w14:paraId="582A14D4" w14:textId="77777777" w:rsidR="00890A26" w:rsidRPr="00E408C7" w:rsidRDefault="00890A26" w:rsidP="00AE1CE1">
      <w:pPr>
        <w:pStyle w:val="COI"/>
        <w:rPr>
          <w:rFonts w:cs="Arial"/>
        </w:rPr>
      </w:pPr>
      <w:r w:rsidRPr="00E408C7">
        <w:rPr>
          <w:rFonts w:cs="Arial"/>
          <w:lang w:val="ru"/>
        </w:rPr>
        <w:t xml:space="preserve">2025 год знаменует собой стратегическую середину. Это своевременная возможность укрепить механизмы реализации, углубить взаимодействие и определить такую позицию Десятилетия, которая обеспечит долгосрочное воздействие. </w:t>
      </w:r>
    </w:p>
    <w:p w14:paraId="616DFF7A" w14:textId="77777777" w:rsidR="00890A26" w:rsidRPr="00E408C7" w:rsidRDefault="00890A26" w:rsidP="00AE1CE1">
      <w:pPr>
        <w:pStyle w:val="COI"/>
        <w:rPr>
          <w:rFonts w:cs="Arial"/>
          <w:lang w:val="ru"/>
        </w:rPr>
      </w:pPr>
      <w:r w:rsidRPr="00E408C7">
        <w:rPr>
          <w:rFonts w:cs="Arial"/>
          <w:lang w:val="ru"/>
        </w:rPr>
        <w:t xml:space="preserve">Рекомендации не требуют конкретных финансовых взносов от государств-членов. Напротив, они основаны на признании того факта, что благодаря расстановке приоритетов в текущей деятельности, оптимизации оперативной рабочей нагрузки и использованию партнерских отношений, сотрудничества и поддержки в рамках МОК, ЮНЕСКО, членов ООН-Океаны, других учреждений системы ООН, НПО, государственных и частных участников, а также посредством доступных цифровых инструментов и платформ, их выполнение является реалистичным и достижимым в условиях существующих ресурсов. </w:t>
      </w:r>
    </w:p>
    <w:p w14:paraId="0B0E5C0F" w14:textId="77777777" w:rsidR="00890A26" w:rsidRPr="00E408C7" w:rsidRDefault="00890A26" w:rsidP="00890A26">
      <w:pPr>
        <w:spacing w:after="120"/>
        <w:jc w:val="both"/>
        <w:rPr>
          <w:rFonts w:cs="Arial"/>
          <w:i/>
          <w:iCs/>
          <w:u w:val="single"/>
        </w:rPr>
      </w:pPr>
      <w:r w:rsidRPr="00E408C7">
        <w:rPr>
          <w:rFonts w:cs="Arial"/>
          <w:i/>
          <w:iCs/>
          <w:u w:val="single"/>
          <w:lang w:val="ru"/>
        </w:rPr>
        <w:t>Основные рекомендации</w:t>
      </w:r>
    </w:p>
    <w:p w14:paraId="40EE6F56" w14:textId="77777777" w:rsidR="00890A26" w:rsidRPr="00E408C7" w:rsidRDefault="00890A26" w:rsidP="00890A26">
      <w:pPr>
        <w:pStyle w:val="COI"/>
        <w:rPr>
          <w:rFonts w:cs="Arial"/>
        </w:rPr>
      </w:pPr>
      <w:r w:rsidRPr="00E408C7">
        <w:rPr>
          <w:rFonts w:cs="Arial"/>
          <w:lang w:val="ru"/>
        </w:rPr>
        <w:t>Ниже представлены основные рекомендации. Подробное описание вариантов их выполнения приведено в заключительном разделе настоящего доклада.</w:t>
      </w:r>
    </w:p>
    <w:p w14:paraId="1631FF73" w14:textId="77777777" w:rsidR="00890A26" w:rsidRPr="00E408C7" w:rsidRDefault="00890A26" w:rsidP="00F767F3">
      <w:pPr>
        <w:pStyle w:val="ListParagraph"/>
        <w:numPr>
          <w:ilvl w:val="0"/>
          <w:numId w:val="12"/>
        </w:numPr>
        <w:spacing w:after="240" w:line="240" w:lineRule="auto"/>
        <w:ind w:left="1276" w:hanging="502"/>
        <w:contextualSpacing w:val="0"/>
        <w:jc w:val="both"/>
        <w:rPr>
          <w:rFonts w:ascii="Arial" w:hAnsi="Arial" w:cs="Arial"/>
          <w:lang w:val="en-GB"/>
        </w:rPr>
      </w:pPr>
      <w:r w:rsidRPr="00E408C7">
        <w:rPr>
          <w:rFonts w:ascii="Arial" w:hAnsi="Arial" w:cs="Arial"/>
          <w:lang w:val="ru"/>
        </w:rPr>
        <w:t>Оптимизация и укрепление структуры управления и координации для Десятилетия науки об океане для повышения эффективности и результативности реализации и поддержки прогресса в достижении его предполагаемых результатов во второй половине.</w:t>
      </w:r>
    </w:p>
    <w:p w14:paraId="1721A404" w14:textId="77777777" w:rsidR="00890A26" w:rsidRPr="00E408C7" w:rsidRDefault="00890A26" w:rsidP="00F767F3">
      <w:pPr>
        <w:pStyle w:val="ListParagraph"/>
        <w:numPr>
          <w:ilvl w:val="0"/>
          <w:numId w:val="12"/>
        </w:numPr>
        <w:spacing w:after="240" w:line="240" w:lineRule="auto"/>
        <w:ind w:left="1276" w:hanging="502"/>
        <w:contextualSpacing w:val="0"/>
        <w:jc w:val="both"/>
        <w:rPr>
          <w:rFonts w:ascii="Arial" w:hAnsi="Arial" w:cs="Arial"/>
          <w:lang w:val="en-GB"/>
        </w:rPr>
      </w:pPr>
      <w:r w:rsidRPr="00E408C7">
        <w:rPr>
          <w:rFonts w:ascii="Arial" w:hAnsi="Arial" w:cs="Arial"/>
          <w:lang w:val="ru"/>
        </w:rPr>
        <w:t>Укрепление сотрудничества и согласованности в рамках всей системы ООН для поддержки достижения результатов Десятилетия и укрепления ее идентичности как коллективной инициативы ООН, расширяя ее глобальный охват и воздействие.</w:t>
      </w:r>
    </w:p>
    <w:p w14:paraId="009DDAA4" w14:textId="6FC3A7A5" w:rsidR="00890A26" w:rsidRPr="00E408C7" w:rsidRDefault="00890A26" w:rsidP="00F767F3">
      <w:pPr>
        <w:pStyle w:val="ListParagraph"/>
        <w:numPr>
          <w:ilvl w:val="0"/>
          <w:numId w:val="12"/>
        </w:numPr>
        <w:spacing w:after="240" w:line="240" w:lineRule="auto"/>
        <w:ind w:left="1276" w:hanging="502"/>
        <w:contextualSpacing w:val="0"/>
        <w:jc w:val="both"/>
        <w:rPr>
          <w:rFonts w:ascii="Arial" w:hAnsi="Arial" w:cs="Arial"/>
          <w:color w:val="000000"/>
          <w:lang w:val="en-GB"/>
        </w:rPr>
      </w:pPr>
      <w:r w:rsidRPr="00E408C7">
        <w:rPr>
          <w:rFonts w:ascii="Arial" w:hAnsi="Arial" w:cs="Arial"/>
          <w:color w:val="000000"/>
          <w:lang w:val="ru"/>
        </w:rPr>
        <w:t>Внедрение всеобъемлющей структуры мобилизации ресурсов для обеспечения устойчивого финансирования координации Десятилетия и создания более благоприятной среды для финансирования и поддержки мероприятий в рамках Десятилетия.</w:t>
      </w:r>
    </w:p>
    <w:p w14:paraId="42D966FF" w14:textId="77777777" w:rsidR="00890A26" w:rsidRPr="00E408C7" w:rsidRDefault="00890A26" w:rsidP="00F767F3">
      <w:pPr>
        <w:pStyle w:val="ListParagraph"/>
        <w:numPr>
          <w:ilvl w:val="0"/>
          <w:numId w:val="12"/>
        </w:numPr>
        <w:spacing w:after="240" w:line="240" w:lineRule="auto"/>
        <w:ind w:left="1276" w:hanging="502"/>
        <w:contextualSpacing w:val="0"/>
        <w:jc w:val="both"/>
        <w:rPr>
          <w:rFonts w:ascii="Arial" w:hAnsi="Arial" w:cs="Arial"/>
          <w:lang w:val="en-GB"/>
        </w:rPr>
      </w:pPr>
      <w:r w:rsidRPr="00E408C7">
        <w:rPr>
          <w:rFonts w:ascii="Arial" w:hAnsi="Arial" w:cs="Arial"/>
          <w:lang w:val="ru"/>
        </w:rPr>
        <w:t>Укрепление взаимодействия на национальном и региональном уровне с акцентом на НРС, МОСРГ и другие недостаточно представленные регионы для содействия более равноправному участию и согласованию с местными и региональными приоритетами.</w:t>
      </w:r>
    </w:p>
    <w:p w14:paraId="29511EEE" w14:textId="77777777" w:rsidR="00890A26" w:rsidRPr="00E408C7" w:rsidRDefault="00890A26" w:rsidP="00F767F3">
      <w:pPr>
        <w:pStyle w:val="ListParagraph"/>
        <w:numPr>
          <w:ilvl w:val="0"/>
          <w:numId w:val="12"/>
        </w:numPr>
        <w:spacing w:after="240" w:line="240" w:lineRule="auto"/>
        <w:ind w:left="1276" w:hanging="502"/>
        <w:contextualSpacing w:val="0"/>
        <w:jc w:val="both"/>
        <w:rPr>
          <w:rFonts w:ascii="Arial" w:hAnsi="Arial" w:cs="Arial"/>
          <w:lang w:val="en-GB"/>
        </w:rPr>
      </w:pPr>
      <w:r w:rsidRPr="00E408C7">
        <w:rPr>
          <w:rFonts w:ascii="Arial" w:hAnsi="Arial" w:cs="Arial"/>
          <w:lang w:val="ru"/>
        </w:rPr>
        <w:t xml:space="preserve">Усиление внедрения инклюзивности, разнообразия и равенства, позволяющих всем представителям, особенно представителям маргинализированных и </w:t>
      </w:r>
      <w:r w:rsidRPr="00E408C7">
        <w:rPr>
          <w:rFonts w:ascii="Arial" w:hAnsi="Arial" w:cs="Arial"/>
          <w:lang w:val="ru"/>
        </w:rPr>
        <w:lastRenderedPageBreak/>
        <w:t>недостаточно представленных групп, стать значимыми участниками и получить выгоду от Десятилетия.</w:t>
      </w:r>
    </w:p>
    <w:p w14:paraId="281C4AAF" w14:textId="77777777" w:rsidR="00890A26" w:rsidRPr="00E408C7" w:rsidRDefault="00890A26" w:rsidP="00F767F3">
      <w:pPr>
        <w:pStyle w:val="ListParagraph"/>
        <w:numPr>
          <w:ilvl w:val="0"/>
          <w:numId w:val="12"/>
        </w:numPr>
        <w:spacing w:after="240" w:line="240" w:lineRule="auto"/>
        <w:ind w:left="1276" w:hanging="502"/>
        <w:contextualSpacing w:val="0"/>
        <w:jc w:val="both"/>
        <w:rPr>
          <w:rFonts w:ascii="Arial" w:hAnsi="Arial" w:cs="Arial"/>
          <w:lang w:val="en-GB"/>
        </w:rPr>
      </w:pPr>
      <w:r w:rsidRPr="00E408C7">
        <w:rPr>
          <w:rFonts w:ascii="Arial" w:hAnsi="Arial" w:cs="Arial"/>
          <w:lang w:val="ru"/>
        </w:rPr>
        <w:t>Укрепление стратегической направленности и воздействия мероприятий в рамках Десятилетия ООН, посвященного науке об океане, для улучшения согласованности с глобальными и национальными приоритетами, продвижения инноваций, поддержки использования знаний и обеспечения практического применения для получения ощутимых выгод государствами-членами и экосистемой.</w:t>
      </w:r>
    </w:p>
    <w:p w14:paraId="6069D438" w14:textId="77777777" w:rsidR="00890A26" w:rsidRPr="00E408C7" w:rsidRDefault="00890A26" w:rsidP="00F767F3">
      <w:pPr>
        <w:pStyle w:val="ListParagraph"/>
        <w:numPr>
          <w:ilvl w:val="0"/>
          <w:numId w:val="12"/>
        </w:numPr>
        <w:spacing w:after="240" w:line="240" w:lineRule="auto"/>
        <w:ind w:left="1276" w:hanging="502"/>
        <w:contextualSpacing w:val="0"/>
        <w:jc w:val="both"/>
        <w:rPr>
          <w:rFonts w:ascii="Arial" w:hAnsi="Arial" w:cs="Arial"/>
          <w:lang w:val="en-GB"/>
        </w:rPr>
      </w:pPr>
      <w:r w:rsidRPr="00E408C7">
        <w:rPr>
          <w:rFonts w:ascii="Arial" w:hAnsi="Arial" w:cs="Arial"/>
          <w:lang w:val="ru"/>
        </w:rPr>
        <w:t>Укрепление существующей структуры мониторинга и оценки (МО) в целях ее преобразования в систему мониторинга, оценки и обучения (МОО).</w:t>
      </w:r>
    </w:p>
    <w:p w14:paraId="56FF4E78" w14:textId="77777777" w:rsidR="00890A26" w:rsidRPr="00E408C7" w:rsidRDefault="00890A26" w:rsidP="00F767F3">
      <w:pPr>
        <w:pStyle w:val="ListParagraph"/>
        <w:numPr>
          <w:ilvl w:val="0"/>
          <w:numId w:val="12"/>
        </w:numPr>
        <w:spacing w:after="240" w:line="240" w:lineRule="auto"/>
        <w:ind w:left="1276" w:hanging="502"/>
        <w:contextualSpacing w:val="0"/>
        <w:jc w:val="both"/>
        <w:rPr>
          <w:rFonts w:ascii="Arial" w:hAnsi="Arial" w:cs="Arial"/>
          <w:lang w:val="en-GB"/>
        </w:rPr>
      </w:pPr>
      <w:r w:rsidRPr="00E408C7">
        <w:rPr>
          <w:rFonts w:ascii="Arial" w:hAnsi="Arial" w:cs="Arial"/>
          <w:lang w:val="ru"/>
        </w:rPr>
        <w:t>Систематическое использование Десятилетия для формирования повестки дня ЮНЕСКО-МОК на период после 2030 года и усиления эффекта ее программ.</w:t>
      </w:r>
    </w:p>
    <w:p w14:paraId="7F9D2F83" w14:textId="77777777" w:rsidR="00F767F3" w:rsidRPr="00E408C7" w:rsidRDefault="00F767F3" w:rsidP="00F767F3">
      <w:pPr>
        <w:pStyle w:val="COI"/>
        <w:numPr>
          <w:ilvl w:val="0"/>
          <w:numId w:val="0"/>
        </w:numPr>
        <w:ind w:left="1276" w:hanging="502"/>
        <w:sectPr w:rsidR="00F767F3" w:rsidRPr="00E408C7" w:rsidSect="003F7186">
          <w:headerReference w:type="even" r:id="rId12"/>
          <w:headerReference w:type="default" r:id="rId13"/>
          <w:headerReference w:type="first" r:id="rId14"/>
          <w:type w:val="oddPage"/>
          <w:pgSz w:w="11906" w:h="16838" w:code="9"/>
          <w:pgMar w:top="1418" w:right="1134" w:bottom="1134" w:left="1134" w:header="709" w:footer="680" w:gutter="0"/>
          <w:pgNumType w:start="1"/>
          <w:cols w:space="708"/>
          <w:titlePg/>
          <w:docGrid w:linePitch="360"/>
        </w:sectPr>
      </w:pPr>
    </w:p>
    <w:p w14:paraId="01C3D201" w14:textId="77777777" w:rsidR="00F027E7" w:rsidRPr="00E408C7" w:rsidRDefault="00F027E7" w:rsidP="00F027E7">
      <w:pPr>
        <w:tabs>
          <w:tab w:val="clear" w:pos="567"/>
        </w:tabs>
        <w:snapToGrid/>
        <w:spacing w:after="160" w:line="360" w:lineRule="auto"/>
        <w:jc w:val="center"/>
        <w:rPr>
          <w:rFonts w:eastAsia="DengXian" w:cs="Arial"/>
          <w:b/>
          <w:bCs/>
          <w:snapToGrid/>
          <w:kern w:val="2"/>
          <w:sz w:val="20"/>
          <w:szCs w:val="20"/>
          <w14:ligatures w14:val="standardContextual"/>
        </w:rPr>
      </w:pPr>
      <w:r w:rsidRPr="00E408C7">
        <w:rPr>
          <w:rFonts w:eastAsia="DengXian" w:cs="Arial"/>
          <w:b/>
          <w:bCs/>
          <w:snapToGrid/>
          <w:kern w:val="2"/>
          <w:sz w:val="20"/>
          <w:szCs w:val="20"/>
          <w:lang w:val="ru"/>
          <w14:ligatures w14:val="standardContextual"/>
        </w:rPr>
        <w:lastRenderedPageBreak/>
        <w:t>ПРИЛОЖЕНИЕ 1 – ОТВЕТ РУКОВОДСТВА</w:t>
      </w:r>
    </w:p>
    <w:tbl>
      <w:tblPr>
        <w:tblStyle w:val="TableGrid1"/>
        <w:tblW w:w="9776" w:type="dxa"/>
        <w:tblLook w:val="04A0" w:firstRow="1" w:lastRow="0" w:firstColumn="1" w:lastColumn="0" w:noHBand="0" w:noVBand="1"/>
      </w:tblPr>
      <w:tblGrid>
        <w:gridCol w:w="3256"/>
        <w:gridCol w:w="6520"/>
      </w:tblGrid>
      <w:tr w:rsidR="00F027E7" w:rsidRPr="00E408C7" w14:paraId="76DE030C" w14:textId="77777777" w:rsidTr="00F027E7">
        <w:tc>
          <w:tcPr>
            <w:tcW w:w="9776" w:type="dxa"/>
            <w:gridSpan w:val="2"/>
          </w:tcPr>
          <w:p w14:paraId="505C0FFB" w14:textId="77777777" w:rsidR="00F027E7" w:rsidRPr="00E408C7" w:rsidRDefault="00F027E7" w:rsidP="00F027E7">
            <w:pPr>
              <w:tabs>
                <w:tab w:val="clear" w:pos="567"/>
              </w:tabs>
              <w:snapToGrid/>
              <w:spacing w:after="160"/>
              <w:rPr>
                <w:b/>
                <w:bCs/>
                <w:sz w:val="20"/>
                <w:szCs w:val="20"/>
              </w:rPr>
            </w:pPr>
            <w:r w:rsidRPr="00E408C7">
              <w:rPr>
                <w:b/>
                <w:bCs/>
                <w:sz w:val="20"/>
                <w:szCs w:val="20"/>
                <w:lang w:val="ru"/>
              </w:rPr>
              <w:t xml:space="preserve">Общий ответ руководства </w:t>
            </w:r>
          </w:p>
        </w:tc>
      </w:tr>
      <w:tr w:rsidR="00F027E7" w:rsidRPr="0073624F" w14:paraId="5F18888A" w14:textId="77777777" w:rsidTr="00F027E7">
        <w:tc>
          <w:tcPr>
            <w:tcW w:w="9776" w:type="dxa"/>
            <w:gridSpan w:val="2"/>
          </w:tcPr>
          <w:p w14:paraId="3E27E5A9" w14:textId="77777777" w:rsidR="00F027E7" w:rsidRPr="00E408C7" w:rsidRDefault="00F027E7" w:rsidP="00F027E7">
            <w:pPr>
              <w:tabs>
                <w:tab w:val="clear" w:pos="567"/>
              </w:tabs>
              <w:snapToGrid/>
              <w:spacing w:after="200"/>
              <w:jc w:val="both"/>
              <w:rPr>
                <w:sz w:val="20"/>
                <w:szCs w:val="20"/>
                <w:lang w:val="ru"/>
              </w:rPr>
            </w:pPr>
            <w:r w:rsidRPr="00E408C7">
              <w:rPr>
                <w:b/>
                <w:bCs/>
                <w:sz w:val="20"/>
                <w:szCs w:val="20"/>
                <w:lang w:val="ru"/>
              </w:rPr>
              <w:t>МОК благодарит департамент внутреннего надзора (IOS) ЮНЕСКО за руководство процессом оценки.</w:t>
            </w:r>
            <w:r w:rsidRPr="00E408C7">
              <w:rPr>
                <w:sz w:val="20"/>
                <w:szCs w:val="20"/>
                <w:lang w:val="ru"/>
              </w:rPr>
              <w:t xml:space="preserve"> МОК отмечает обстоятельные консультации, которые были проведены для разработки процесса оценки, и благодарит группу по оценке, а также всех людей и организации, принявшие участие в этом процессе. Среднесрочная оценка приходится на критический момент в Десятилетии науки об океане. Спустя пять лет реализации Десятилетие науки об океане достигло значительных результатов по ряду областей. Оно повысило глобальную осведомленность о роли науки и знаний об океане для устойчивого развития, способствовало появлению почти 60 крупных глобальных программ, успешно опробовало новые инновационные подходы к мобилизации ресурсов и поддержало создание тематических и региональных координирующих центров, целью которых является содействие созданию и применению науки и знаний для информированного принятия решений. Государства-члены активно приняли и поддержали видение Десятилетия науки об океане, согласовали свои национальные научные приоритеты с целями Десятилетия и приняли участие в национальных инициативах, в том числе посредством учреждения Национальных комитетов по проведению Десятилетия, разработки и финансирования мероприятий в рамках Десятилетия, организации событий, конференций и встреч для продвижения миссии Десятилетия. </w:t>
            </w:r>
          </w:p>
          <w:p w14:paraId="3E4DFDBF" w14:textId="77777777" w:rsidR="00F027E7" w:rsidRPr="00E408C7" w:rsidRDefault="00F027E7" w:rsidP="00F027E7">
            <w:pPr>
              <w:tabs>
                <w:tab w:val="clear" w:pos="567"/>
              </w:tabs>
              <w:snapToGrid/>
              <w:spacing w:after="200"/>
              <w:jc w:val="both"/>
              <w:rPr>
                <w:sz w:val="20"/>
                <w:szCs w:val="20"/>
                <w:lang w:val="ru"/>
              </w:rPr>
            </w:pPr>
            <w:r w:rsidRPr="00E408C7">
              <w:rPr>
                <w:b/>
                <w:bCs/>
                <w:sz w:val="20"/>
                <w:szCs w:val="20"/>
                <w:lang w:val="ru"/>
              </w:rPr>
              <w:t xml:space="preserve">МОК подчеркивает, что крайне важно использовать вторую половину Десятилетия науки об океане для консолидации значительных достижений, имеющихся на сегодняшний день, и стремиться к синергии между текущими мероприятиями в рамках Десятилетия для оказания большего влияния и реализации видения и миссии Десятилетия к 2030 году. </w:t>
            </w:r>
            <w:r w:rsidRPr="00E408C7">
              <w:rPr>
                <w:sz w:val="20"/>
                <w:szCs w:val="20"/>
                <w:lang w:val="ru"/>
              </w:rPr>
              <w:t xml:space="preserve">Она соглашается с заключением оценки о том, что середина Десятилетия является критическим моментом для подведения итогов и установки новых приоритетов в проведении Десятилетия во второй половине, которые адаптированы для решения этих задач. Неизбежно остаются проблемы в реализации Десятилетия, многие из которых озвучены в оценке. Потенциал рекомендаций и связанных с ними ответов для содействия эффекту Десятилетия после 2030 года является ключевым фильтром для составления ответа руководства. </w:t>
            </w:r>
          </w:p>
          <w:p w14:paraId="510C5CFB" w14:textId="77777777" w:rsidR="00F027E7" w:rsidRPr="00E408C7" w:rsidRDefault="00F027E7" w:rsidP="00F027E7">
            <w:pPr>
              <w:tabs>
                <w:tab w:val="clear" w:pos="567"/>
              </w:tabs>
              <w:snapToGrid/>
              <w:spacing w:after="200"/>
              <w:jc w:val="both"/>
              <w:rPr>
                <w:color w:val="000000"/>
                <w:sz w:val="20"/>
                <w:szCs w:val="20"/>
                <w:lang w:val="ru"/>
              </w:rPr>
            </w:pPr>
            <w:r w:rsidRPr="00E408C7">
              <w:rPr>
                <w:b/>
                <w:bCs/>
                <w:color w:val="000000"/>
                <w:sz w:val="20"/>
                <w:szCs w:val="20"/>
                <w:lang w:val="ru"/>
              </w:rPr>
              <w:t>МОК признает, что Десятилетие осуществляется на фоне динамичного и сложного глобального ландшафта и одновременно находится под его влиянием, а также нуждается в решении системных и сохраняющихся задач</w:t>
            </w:r>
            <w:r w:rsidRPr="00E408C7">
              <w:rPr>
                <w:color w:val="000000"/>
                <w:sz w:val="20"/>
                <w:szCs w:val="20"/>
                <w:lang w:val="ru"/>
              </w:rPr>
              <w:t xml:space="preserve">, связанных с проблемами, такими как доступность ресурсов для океанографии и океанографической инфраструктуры, географическое неравенство в отношении ресурсов и потенциала, время, необходимое науке для разработки процессов принятия решений и политики, и, что важнее всего, быстрое изменение экосистем океана и геополитической среды. И хотя Десятилетие науки об океане вносит свой вклад в более масштабные усилия по решению таких задач и действительно может использовать свои уникальные особенности для увеличения такого вклада путем содействия более широким сетям в государствах-членах и за их пределами, Десятилетие не в силах самостоятельно решить ни одну из этих проблем. МОК полагает, что середина Десятилетия является также отличным моментом для переопределения и заявления об уникальной нише и добавочной ценности Десятилетия как в целях содействия усилиям по вовлечению и мобилизации ресурсов, так и в целях прояснения, а в некоторых случаях и переоценки ожиданий заинтересованных сторон относительно преимуществ участия в Десятилетии. </w:t>
            </w:r>
          </w:p>
          <w:p w14:paraId="61178A11" w14:textId="0CB458C9" w:rsidR="00F027E7" w:rsidRPr="00E408C7" w:rsidRDefault="00F027E7" w:rsidP="00F027E7">
            <w:pPr>
              <w:tabs>
                <w:tab w:val="clear" w:pos="567"/>
              </w:tabs>
              <w:snapToGrid/>
              <w:spacing w:after="200"/>
              <w:jc w:val="both"/>
              <w:rPr>
                <w:color w:val="000000"/>
                <w:sz w:val="20"/>
                <w:szCs w:val="20"/>
                <w:lang w:val="ru"/>
              </w:rPr>
            </w:pPr>
            <w:r w:rsidRPr="00E408C7">
              <w:rPr>
                <w:b/>
                <w:bCs/>
                <w:color w:val="000000"/>
                <w:sz w:val="20"/>
                <w:szCs w:val="20"/>
                <w:lang w:val="ru"/>
              </w:rPr>
              <w:t xml:space="preserve">МОК подчеркивает, что усиление координации необходимо для улучшения консолидированной реализации во второй половине Десятилетия, и что это потребует увеличения объема ресурсов в этот период, особенно сложный для их мобилизации. </w:t>
            </w:r>
            <w:r w:rsidRPr="00E408C7">
              <w:rPr>
                <w:color w:val="000000"/>
                <w:sz w:val="20"/>
                <w:szCs w:val="20"/>
                <w:lang w:val="ru"/>
              </w:rPr>
              <w:t xml:space="preserve">МОК соглашается с общим выводом оценки о том, что усиление координации приведет к увеличению воздействия, но при рассмотрении осуществимости предлагаемых действий, определенных группой оценки, МОК стремился достичь баланса между ожидаемым воздействием мероприятий и существующим или вероятным будущим наличием ресурсов. Указанные ниже точки приложения усилий составят основу для амбициозного, последовательного и эффективного комплекса мероприятий на следующую половину Десятилетия. Они потребуют дополнительных ресурсов, хотя они были разработаны с учетом преобладающего финансового и инвестиционного ландшафта и представляют собой целенаправленную и амбициозную, но реалистичную просьбу к государствам-членам и партнерам поддержать реализацию приоритетных потребностей Десятилетия на глобальном уровне и в регионах. </w:t>
            </w:r>
          </w:p>
        </w:tc>
      </w:tr>
      <w:tr w:rsidR="00F027E7" w:rsidRPr="00E408C7" w14:paraId="3E4D3519" w14:textId="77777777" w:rsidTr="00F027E7">
        <w:tc>
          <w:tcPr>
            <w:tcW w:w="3256" w:type="dxa"/>
          </w:tcPr>
          <w:p w14:paraId="4B3AF238" w14:textId="77777777" w:rsidR="00F027E7" w:rsidRPr="00E408C7" w:rsidRDefault="00F027E7" w:rsidP="00F027E7">
            <w:pPr>
              <w:tabs>
                <w:tab w:val="clear" w:pos="567"/>
              </w:tabs>
              <w:snapToGrid/>
              <w:spacing w:after="160"/>
              <w:rPr>
                <w:b/>
                <w:bCs/>
                <w:sz w:val="20"/>
                <w:szCs w:val="20"/>
              </w:rPr>
            </w:pPr>
            <w:r w:rsidRPr="00E408C7">
              <w:rPr>
                <w:b/>
                <w:bCs/>
                <w:sz w:val="20"/>
                <w:szCs w:val="20"/>
                <w:lang w:val="ru"/>
              </w:rPr>
              <w:t xml:space="preserve">Рекомендации </w:t>
            </w:r>
          </w:p>
        </w:tc>
        <w:tc>
          <w:tcPr>
            <w:tcW w:w="6520" w:type="dxa"/>
          </w:tcPr>
          <w:p w14:paraId="2F6B3140" w14:textId="77777777" w:rsidR="00F027E7" w:rsidRPr="00E408C7" w:rsidRDefault="00F027E7" w:rsidP="00F027E7">
            <w:pPr>
              <w:tabs>
                <w:tab w:val="clear" w:pos="567"/>
              </w:tabs>
              <w:snapToGrid/>
              <w:spacing w:after="160"/>
              <w:rPr>
                <w:b/>
                <w:bCs/>
                <w:sz w:val="20"/>
                <w:szCs w:val="20"/>
              </w:rPr>
            </w:pPr>
            <w:r w:rsidRPr="00E408C7">
              <w:rPr>
                <w:b/>
                <w:bCs/>
                <w:sz w:val="20"/>
                <w:szCs w:val="20"/>
                <w:lang w:val="ru"/>
              </w:rPr>
              <w:t xml:space="preserve">Ответ руководства </w:t>
            </w:r>
          </w:p>
        </w:tc>
      </w:tr>
      <w:tr w:rsidR="00F027E7" w:rsidRPr="0073624F" w14:paraId="190254EF" w14:textId="77777777" w:rsidTr="00F027E7">
        <w:tc>
          <w:tcPr>
            <w:tcW w:w="3256" w:type="dxa"/>
          </w:tcPr>
          <w:p w14:paraId="32FAD98C" w14:textId="77777777" w:rsidR="00F027E7" w:rsidRPr="00E408C7" w:rsidRDefault="00F027E7" w:rsidP="00F027E7">
            <w:pPr>
              <w:tabs>
                <w:tab w:val="clear" w:pos="567"/>
              </w:tabs>
              <w:snapToGrid/>
              <w:spacing w:after="160"/>
              <w:rPr>
                <w:sz w:val="20"/>
                <w:szCs w:val="20"/>
              </w:rPr>
            </w:pPr>
            <w:r w:rsidRPr="00E408C7">
              <w:rPr>
                <w:b/>
                <w:bCs/>
                <w:color w:val="000000"/>
                <w:sz w:val="20"/>
                <w:szCs w:val="20"/>
                <w:lang w:val="ru"/>
              </w:rPr>
              <w:lastRenderedPageBreak/>
              <w:t>Рекомендация 1: Оптимизация и укрепление структуры управления и координации для Десятилетия науки об океане для повышения эффективности и результативности реализации и поддержки прогресса в достижении его предполагаемых результатов во второй половине.</w:t>
            </w:r>
          </w:p>
        </w:tc>
        <w:tc>
          <w:tcPr>
            <w:tcW w:w="6520" w:type="dxa"/>
          </w:tcPr>
          <w:p w14:paraId="5C78A50D" w14:textId="77777777" w:rsidR="00F027E7" w:rsidRPr="00E408C7" w:rsidRDefault="00F027E7" w:rsidP="00F027E7">
            <w:pPr>
              <w:tabs>
                <w:tab w:val="clear" w:pos="567"/>
              </w:tabs>
              <w:snapToGrid/>
              <w:spacing w:before="120" w:after="120"/>
              <w:jc w:val="both"/>
              <w:rPr>
                <w:b/>
                <w:bCs/>
                <w:color w:val="000000"/>
                <w:sz w:val="20"/>
                <w:szCs w:val="20"/>
              </w:rPr>
            </w:pPr>
            <w:r w:rsidRPr="00E408C7">
              <w:rPr>
                <w:b/>
                <w:bCs/>
                <w:color w:val="000000"/>
                <w:sz w:val="20"/>
                <w:szCs w:val="20"/>
                <w:lang w:val="ru"/>
              </w:rPr>
              <w:t xml:space="preserve">Принята. </w:t>
            </w:r>
          </w:p>
          <w:p w14:paraId="1B60D1B8"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Поскольку Десятилетие представляет собой общесистемную инициативу ООН, руководство им на самом высоком уровне возглавляет Генеральная Ассамблея ООН, а отчетность осуществляется через ежегодный доклад Генерального секретаря ООН Генеральной Ассамблее ООН. Используя порученную ГА ООН роль координирующего органа Десятилетия, МОК отчитывается перед своими государствами-членами через Исполнительный совет и Ассамблею. Консультативный совет по вопросам проведения Десятилетия является техническим консультативным органом при Секретариате и руководящих органах МОК. Группа по координации проведения Десятилетия (ГКД) в рамках Секретариата МОК была учреждена в административном порядке, но не имеет собственного персонала. Должность директора была официально учреждена в документе 42C/5 (2024) и в настоящее время является вакантной. Функции координатора и заместителя координатора в настоящий момент сотрудники секции морской политики и региональной координации МОК.  ГКД является главным координационным центром Десятилетия и получает поддержку от сети тематических и региональных координационных центров, возглавляемых и не возглавляемых МОК. </w:t>
            </w:r>
          </w:p>
          <w:p w14:paraId="6C5A4C31"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Масштаб, сложность, быстрый рост и органический характер Десятилетия означают, что четкое руководство и координация имеют важное значение, а существующие структуры требуют постоянного укрепления и увеличения объема ресурсов на всех уровнях для достижения амбиций следующей половины Десятилетия.</w:t>
            </w:r>
          </w:p>
          <w:p w14:paraId="5F29F786"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Круг ведения (КВ) Консультативного совета по вопросам проведения Десятилетия требует пересмотра для усиления акцента на стратегической роли этой группы, состоящей из экспертов-отдельных членов и представителей учреждений ООН. Текущий Совет разработал предложение по пересмотру КВ, которое будет представлено на 33-й сессии Ассамблеи МОК. Официальное учреждение ГКД в рамках МОК, завершение процесса подбора на должность координатора Десятилетия и официальное признание роли других старших сотрудников в Группе будет способствовать укреплению внешней и внутренней легитимности и значимости для координации на центральном уровне. </w:t>
            </w:r>
          </w:p>
          <w:p w14:paraId="6809B61B"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ГКД и возглавляемые МОК региональные/тематические координирующие структуры осуществляют свою деятельность с минимумом персонала и без значительных новых ресурсов. В будущем эта ситуация вряд ли изменится. Хотя увеличение кадрового потенциала ГКД и региональных координационных структур было бы идеальным и действительно необходимым для достижения многих из следующих рекомендаций, считается, что этого невозможно достичь исключительно за счет командирования и предоставления экспертов из системы ООН. Как указано более подробно ниже, без значительных новых финансовых вложений и вложений в натуральной форме в кадровые ресурсы в 2026 году и далее деятельность ГКД и децентрализованных координирующих структур под руководством МОК будет вынужденно сокращена; такая ситуация будет полностью противоречить амбициям консолидированного воздействия в течение оставшихся пяти лет Десятилетия и поставит под угрозу достижения предыдущих пяти лет. </w:t>
            </w:r>
          </w:p>
          <w:p w14:paraId="579C0F43"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Будут активизированы обсуждения с государствами-членами и партнерами в системе ООН и за ее пределами, касающиеся приоритетов мобилизации ресурсов, включая изучение новых </w:t>
            </w:r>
            <w:r w:rsidRPr="00E408C7">
              <w:rPr>
                <w:color w:val="000000"/>
                <w:sz w:val="20"/>
                <w:szCs w:val="20"/>
                <w:lang w:val="ru"/>
              </w:rPr>
              <w:lastRenderedPageBreak/>
              <w:t xml:space="preserve">вариантов привлечения ресурсов, для увеличения потенциала в рамках ГКД и региональных структур. </w:t>
            </w:r>
          </w:p>
        </w:tc>
      </w:tr>
      <w:tr w:rsidR="00F027E7" w:rsidRPr="0073624F" w14:paraId="0237C030" w14:textId="77777777" w:rsidTr="00F027E7">
        <w:tc>
          <w:tcPr>
            <w:tcW w:w="3256" w:type="dxa"/>
          </w:tcPr>
          <w:p w14:paraId="09811544" w14:textId="77777777" w:rsidR="00F027E7" w:rsidRPr="00E408C7" w:rsidRDefault="00F027E7" w:rsidP="00F027E7">
            <w:pPr>
              <w:tabs>
                <w:tab w:val="clear" w:pos="567"/>
              </w:tabs>
              <w:snapToGrid/>
              <w:spacing w:after="160"/>
              <w:rPr>
                <w:sz w:val="20"/>
                <w:szCs w:val="20"/>
                <w:lang w:val="ru"/>
              </w:rPr>
            </w:pPr>
            <w:r w:rsidRPr="00E408C7">
              <w:rPr>
                <w:b/>
                <w:bCs/>
                <w:color w:val="000000"/>
                <w:sz w:val="20"/>
                <w:szCs w:val="20"/>
                <w:lang w:val="ru"/>
              </w:rPr>
              <w:lastRenderedPageBreak/>
              <w:t>Рекомендация 2: Укрепление сотрудничества и согласованности в рамках всей системы ООН для поддержки достижения результатов Десятилетия и укрепления ее идентичности как коллективной инициативы ООН, расширяя ее глобальный охват и воздействие.</w:t>
            </w:r>
          </w:p>
        </w:tc>
        <w:tc>
          <w:tcPr>
            <w:tcW w:w="6520" w:type="dxa"/>
          </w:tcPr>
          <w:p w14:paraId="38198D46" w14:textId="77777777" w:rsidR="00F027E7" w:rsidRPr="00E408C7" w:rsidRDefault="00F027E7" w:rsidP="00F027E7">
            <w:pPr>
              <w:tabs>
                <w:tab w:val="clear" w:pos="567"/>
              </w:tabs>
              <w:snapToGrid/>
              <w:spacing w:before="120" w:after="120"/>
              <w:jc w:val="both"/>
              <w:rPr>
                <w:b/>
                <w:bCs/>
                <w:color w:val="000000"/>
                <w:sz w:val="20"/>
                <w:szCs w:val="20"/>
                <w:lang w:val="ru"/>
              </w:rPr>
            </w:pPr>
            <w:r w:rsidRPr="00E408C7">
              <w:rPr>
                <w:b/>
                <w:bCs/>
                <w:color w:val="000000"/>
                <w:sz w:val="20"/>
                <w:szCs w:val="20"/>
                <w:lang w:val="ru"/>
              </w:rPr>
              <w:t xml:space="preserve">Принята. </w:t>
            </w:r>
          </w:p>
          <w:p w14:paraId="474D796A"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Полное и активное участие учреждений ООН в Десятилетии имеет важное значение для его успешности как общесистемной инициативы ООН. На сегодняшний день небольшая группа учреждений системы ООН продемонстрировала твердую приверженность Десятилетию посредством представления предложений по проведению мероприятий в рамках Десятилетия, участия в Консультативном совете по вопросам проведения Десятилетия, организации и участия в совещаниях и конференциях, а также взаимодействия с экспертными рабочими группами. Однако Десятилетие с трудом получает поддержку за пределами этой основной группы. Необходимо более тесное взаимодействие с учреждениями системы ООН, в том числе посредством взаимодействия на уровне руководства, для более четкого формулирования преимуществ участия в Десятилетии, в том числе для содействия научно-политическим мандатам учреждений системы ООН. Предлагаемая редакция Консультативного совета по вопросам проведения Десятилетия включает предложения по усилению роли членов Совета, являющихся представителями учреждений системы ООН, и также будет способствовать выполнению этой рекомендации.</w:t>
            </w:r>
          </w:p>
        </w:tc>
      </w:tr>
      <w:tr w:rsidR="00F027E7" w:rsidRPr="0073624F" w14:paraId="26BE35C4" w14:textId="77777777" w:rsidTr="00F027E7">
        <w:tc>
          <w:tcPr>
            <w:tcW w:w="3256" w:type="dxa"/>
          </w:tcPr>
          <w:p w14:paraId="2FD49B66" w14:textId="77777777" w:rsidR="00F027E7" w:rsidRPr="00E408C7" w:rsidRDefault="00F027E7" w:rsidP="00F027E7">
            <w:pPr>
              <w:tabs>
                <w:tab w:val="clear" w:pos="567"/>
              </w:tabs>
              <w:snapToGrid/>
              <w:spacing w:after="160"/>
              <w:rPr>
                <w:sz w:val="20"/>
                <w:szCs w:val="20"/>
                <w:lang w:val="ru"/>
              </w:rPr>
            </w:pPr>
            <w:r w:rsidRPr="00E408C7">
              <w:rPr>
                <w:b/>
                <w:bCs/>
                <w:color w:val="000000"/>
                <w:sz w:val="20"/>
                <w:szCs w:val="20"/>
                <w:lang w:val="ru"/>
              </w:rPr>
              <w:t>Рекомендация 3: Внедрение всеобъемлющей структуры мобилизации ресурсов для обеспечения устойчивого финансирования координации Десятилетия и создания более благоприятной среды для финансирования и поддержки мероприятий в рамках Десятилетия.</w:t>
            </w:r>
          </w:p>
        </w:tc>
        <w:tc>
          <w:tcPr>
            <w:tcW w:w="6520" w:type="dxa"/>
          </w:tcPr>
          <w:p w14:paraId="0A5A671C" w14:textId="77777777" w:rsidR="00F027E7" w:rsidRPr="00E408C7" w:rsidRDefault="00F027E7" w:rsidP="00F027E7">
            <w:pPr>
              <w:tabs>
                <w:tab w:val="clear" w:pos="567"/>
              </w:tabs>
              <w:snapToGrid/>
              <w:spacing w:before="120" w:after="120"/>
              <w:jc w:val="both"/>
              <w:rPr>
                <w:b/>
                <w:bCs/>
                <w:color w:val="000000"/>
                <w:sz w:val="20"/>
                <w:szCs w:val="20"/>
                <w:lang w:val="ru"/>
              </w:rPr>
            </w:pPr>
            <w:r w:rsidRPr="00E408C7">
              <w:rPr>
                <w:b/>
                <w:bCs/>
                <w:color w:val="000000"/>
                <w:sz w:val="20"/>
                <w:szCs w:val="20"/>
                <w:lang w:val="ru"/>
              </w:rPr>
              <w:t xml:space="preserve">Принята частично. </w:t>
            </w:r>
          </w:p>
          <w:p w14:paraId="4932597D"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В мандате ГА ООН для Десятилетия определена необходимость проведения Десятилетия в рамках имеющихся ресурсов. Привлечение ресурсов остается единственной самой важной проблемой, препятствующей полной и эффективной реализации Десятилетие науки об океане. Это касается как координации Десятилетия в рамках ГКД и региональных и тематических координирующих структур под руководством МОК, так и эффективной реализации мероприятий в рамках Десятилетия. </w:t>
            </w:r>
          </w:p>
          <w:p w14:paraId="2B9FF2B8"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Координационная деятельность полностью зависит от добровольных взносов Государств-членов и других партнеров. По мере того, как приближается середина Десятилетия, все более сложная ситуация с финансированием в сочетании с определенной степенью ожидаемой и естественной усталости доноров влечет за собой тенденцию к снижению объема ресурсов для координации на центральном и региональном уровне. Прогнозы на 2026 год и далее показывают, что при отсутствии значительных новых финансовых ресурсов и ресурсов в натуральной форме возникнет необходимость уменьшить масштаб ГКД и ее координационной деятельности. В аналогичной ситуации находятся критически важные региональные и тематические координирующие структуры под руководством МОК в Африке, тропических регионах Америки и Карибском бассейне, занимающиеся наблюдениями за океаном Региональные структуры никогда не были полностью сформированы. Кроме того, ожидается уменьшение масштаба БКД по океанографическим наблюдениям, несмотря на важнейший приоритет, отдаваемый наблюдениям за океаном в рамках Десятилетии и программной работы МОК. Усилия по мобилизации ресурсов (хотя они по-прежнему направлены на основную оперативную работу БКД), будут все больше фокусироваться на ограниченном наборе высокоприоритетных тем или регионов, которые поддерживают другие рекомендации оценки, связанные с усилением координации мероприятий в рамках Десятилетия для консолидированного воздействия (Рекомендация 6) и возможностью использовать Десятилетие для укрепления </w:t>
            </w:r>
            <w:r w:rsidRPr="00E408C7">
              <w:rPr>
                <w:color w:val="000000"/>
                <w:sz w:val="20"/>
                <w:szCs w:val="20"/>
                <w:lang w:val="ru"/>
              </w:rPr>
              <w:lastRenderedPageBreak/>
              <w:t>программной работы МОК после 2030 года (Рекомендация 8). Этот адресный подход, сосредоточенный вокруг тематических или региональных комплексов мероприятий, будет более эффективным, чем широкомасштабная «комплексная структура мобилизации ресурсов», предложенная в отчете об оценке.</w:t>
            </w:r>
          </w:p>
          <w:p w14:paraId="322F3C4F"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Несмотря на успехи в инновационных подходах, реализуемых, в том числе, Альянсом в поддержку Десятилетия науки об океане, «Диалогом благотворительных фондов» и другими партнерами, например, в разработке совместных Запросам предложений о проведении Десятилетия, имеет место довольно сильное разочарование в связи с предполагаемой «неспособностью» Десятилетия финансировать одобренные инициативы. Необходимо пересмотреть ожидания и понимание роли Десятилетия в отношении мобилизации ресурсов для мероприятий в рамках Десятилетия, т. е. Десятилетие призвано повлиять на финансирование и инвестиционный ландшафт, а не является механизмом финансирования как таковым. Параллельно будут продолжаться усилия по разработке и развертыванию инновационных партнерств, способных оказать влияние на глобальный финансовый и инвестиционный ландшафт в сфере науки об океане. </w:t>
            </w:r>
          </w:p>
          <w:p w14:paraId="592976C4" w14:textId="77777777" w:rsidR="00F027E7" w:rsidRPr="00E408C7" w:rsidRDefault="00F027E7" w:rsidP="00F027E7">
            <w:pPr>
              <w:tabs>
                <w:tab w:val="clear" w:pos="567"/>
              </w:tabs>
              <w:snapToGrid/>
              <w:spacing w:before="120" w:after="120"/>
              <w:jc w:val="both"/>
              <w:rPr>
                <w:color w:val="000000"/>
                <w:sz w:val="20"/>
                <w:szCs w:val="20"/>
                <w:lang w:val="ru"/>
              </w:rPr>
            </w:pPr>
          </w:p>
        </w:tc>
      </w:tr>
      <w:tr w:rsidR="00F027E7" w:rsidRPr="0073624F" w14:paraId="494378F7" w14:textId="77777777" w:rsidTr="00F027E7">
        <w:tc>
          <w:tcPr>
            <w:tcW w:w="3256" w:type="dxa"/>
          </w:tcPr>
          <w:p w14:paraId="6A215DA4" w14:textId="77777777" w:rsidR="00F027E7" w:rsidRPr="00E408C7" w:rsidRDefault="00F027E7" w:rsidP="00F027E7">
            <w:pPr>
              <w:tabs>
                <w:tab w:val="clear" w:pos="567"/>
              </w:tabs>
              <w:snapToGrid/>
              <w:spacing w:after="160"/>
              <w:rPr>
                <w:b/>
                <w:bCs/>
                <w:color w:val="000000"/>
                <w:sz w:val="20"/>
                <w:szCs w:val="20"/>
                <w:lang w:val="ru"/>
              </w:rPr>
            </w:pPr>
            <w:r w:rsidRPr="00E408C7">
              <w:rPr>
                <w:b/>
                <w:bCs/>
                <w:color w:val="000000"/>
                <w:sz w:val="20"/>
                <w:szCs w:val="20"/>
                <w:lang w:val="ru"/>
              </w:rPr>
              <w:lastRenderedPageBreak/>
              <w:t>Рекомендация 4: Укрепление взаимодействия на национальном и региональном уровне с акцентом на НРС, МОСРГ и другие недостаточно представленные регионы для содействия более равноправному участию и согласованию с местными и региональными приоритетами.</w:t>
            </w:r>
          </w:p>
        </w:tc>
        <w:tc>
          <w:tcPr>
            <w:tcW w:w="6520" w:type="dxa"/>
          </w:tcPr>
          <w:p w14:paraId="1D125AAF" w14:textId="77777777" w:rsidR="00F027E7" w:rsidRPr="00E408C7" w:rsidRDefault="00F027E7" w:rsidP="00F027E7">
            <w:pPr>
              <w:tabs>
                <w:tab w:val="clear" w:pos="567"/>
              </w:tabs>
              <w:snapToGrid/>
              <w:spacing w:before="120" w:after="120"/>
              <w:jc w:val="both"/>
              <w:rPr>
                <w:b/>
                <w:bCs/>
                <w:color w:val="000000"/>
                <w:sz w:val="20"/>
                <w:szCs w:val="20"/>
                <w:lang w:val="ru"/>
              </w:rPr>
            </w:pPr>
            <w:r w:rsidRPr="00E408C7">
              <w:rPr>
                <w:b/>
                <w:bCs/>
                <w:color w:val="000000"/>
                <w:sz w:val="20"/>
                <w:szCs w:val="20"/>
                <w:lang w:val="ru"/>
              </w:rPr>
              <w:t xml:space="preserve">Принята. </w:t>
            </w:r>
          </w:p>
          <w:p w14:paraId="642DB9F3"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Барселонское заявление, принятое на Международной конференции, посвященной Десятилетию науки об океане, 2024 года, признало приоритетом укрепление регионального и национального участия в Десятилетии. Поддержка региональных рабочих групп и Национальных комитетов по проведению Десятилетия оказывается в рамках возможностей имеющихся кадровых ресурсов и будет продолжаться. Кроме того, будут реализованы меры по улучшению взаимодействия между Консультативным советом по вопросам проведения Десятилетия, мероприятиями в рамках Десятилетия и национальными и региональными структурами Десятилетия, а также партнерами. Будет продолжена поддержка Национальных комитетов по проведению Десятилетия в рамках имеющихся ограниченных кадровых ресурсов в целях укрепления связей с мероприятиями в рамках Десятилетия как средства увязки работы Десятилетия для поддержки выполнения национальных обязательств в рамках глобальных и региональных конвенций и рамочных программ ООН (например, РКИК ООН, КБР и БПНЮ). Центр по развитию потенциала в рамках Десятилетия и базовые механизмы предоставления услуг по развитию потенциала МОК будут и далее использоваться для оказания поддержки заинтересованным сторонам из числа МОСРГ/НРС в подходах к совместной разработке, мобилизации ресурсов и взаимодействии с частным сектором/благотворительными организациями для создания самоуправляемых мероприятий в рамках Десятилетия.</w:t>
            </w:r>
          </w:p>
        </w:tc>
      </w:tr>
      <w:tr w:rsidR="00F027E7" w:rsidRPr="00E408C7" w14:paraId="0BA39375" w14:textId="77777777" w:rsidTr="00F027E7">
        <w:tc>
          <w:tcPr>
            <w:tcW w:w="3256" w:type="dxa"/>
          </w:tcPr>
          <w:p w14:paraId="3C8485D4" w14:textId="77777777" w:rsidR="00F027E7" w:rsidRPr="00E408C7" w:rsidRDefault="00F027E7" w:rsidP="00F027E7">
            <w:pPr>
              <w:tabs>
                <w:tab w:val="clear" w:pos="567"/>
              </w:tabs>
              <w:snapToGrid/>
              <w:spacing w:after="160"/>
              <w:rPr>
                <w:b/>
                <w:bCs/>
                <w:color w:val="000000"/>
                <w:sz w:val="20"/>
                <w:szCs w:val="20"/>
                <w:lang w:val="ru"/>
              </w:rPr>
            </w:pPr>
            <w:r w:rsidRPr="00E408C7">
              <w:rPr>
                <w:b/>
                <w:bCs/>
                <w:color w:val="000000"/>
                <w:sz w:val="20"/>
                <w:szCs w:val="20"/>
                <w:lang w:val="ru"/>
              </w:rPr>
              <w:t xml:space="preserve">Рекомендация 5: Усиление внедрения инклюзивности, разнообразия и равенства, позволяющих всем представителям, особенно представителям маргинализированных и недостаточно представленных групп, стать значимыми участниками и </w:t>
            </w:r>
            <w:r w:rsidRPr="00E408C7">
              <w:rPr>
                <w:b/>
                <w:bCs/>
                <w:color w:val="000000"/>
                <w:sz w:val="20"/>
                <w:szCs w:val="20"/>
                <w:lang w:val="ru"/>
              </w:rPr>
              <w:lastRenderedPageBreak/>
              <w:t>получить выгоду от Десятилетия.</w:t>
            </w:r>
          </w:p>
        </w:tc>
        <w:tc>
          <w:tcPr>
            <w:tcW w:w="6520" w:type="dxa"/>
          </w:tcPr>
          <w:p w14:paraId="430EF7A6" w14:textId="77777777" w:rsidR="00F027E7" w:rsidRPr="00E408C7" w:rsidRDefault="00F027E7" w:rsidP="00F027E7">
            <w:pPr>
              <w:tabs>
                <w:tab w:val="clear" w:pos="567"/>
              </w:tabs>
              <w:snapToGrid/>
              <w:spacing w:before="120" w:after="120"/>
              <w:jc w:val="both"/>
              <w:rPr>
                <w:b/>
                <w:bCs/>
                <w:color w:val="000000"/>
                <w:sz w:val="20"/>
                <w:szCs w:val="20"/>
                <w:lang w:val="ru"/>
              </w:rPr>
            </w:pPr>
            <w:r w:rsidRPr="00E408C7">
              <w:rPr>
                <w:b/>
                <w:bCs/>
                <w:color w:val="000000"/>
                <w:sz w:val="20"/>
                <w:szCs w:val="20"/>
                <w:lang w:val="ru"/>
              </w:rPr>
              <w:lastRenderedPageBreak/>
              <w:t xml:space="preserve">Принята. </w:t>
            </w:r>
          </w:p>
          <w:p w14:paraId="303F68C8" w14:textId="77777777" w:rsidR="00F027E7" w:rsidRPr="00E408C7" w:rsidRDefault="00F027E7" w:rsidP="00F027E7">
            <w:pPr>
              <w:tabs>
                <w:tab w:val="clear" w:pos="567"/>
              </w:tabs>
              <w:snapToGrid/>
              <w:spacing w:before="120" w:after="120"/>
              <w:jc w:val="both"/>
              <w:rPr>
                <w:b/>
                <w:bCs/>
                <w:color w:val="000000"/>
                <w:sz w:val="20"/>
                <w:szCs w:val="20"/>
              </w:rPr>
            </w:pPr>
            <w:r w:rsidRPr="00E408C7">
              <w:rPr>
                <w:color w:val="000000"/>
                <w:sz w:val="20"/>
                <w:szCs w:val="20"/>
                <w:lang w:val="ru"/>
              </w:rPr>
              <w:t xml:space="preserve">Охват всех гендеров, географических регионов и поколений является основополагающим принципом Десятилетия. На сегодняшний день проделана значительная работа и запущены новые инициативы для повышения гендерного равенства и интеграции молодежи, а также для содействия лидерской роли и вовлечению носителей знаний коренных и местных народов в Десятилетие. Эти инициативы будут продолжены в ближайшие годы. </w:t>
            </w:r>
          </w:p>
        </w:tc>
      </w:tr>
      <w:tr w:rsidR="00F027E7" w:rsidRPr="0073624F" w14:paraId="60EA4F44" w14:textId="77777777" w:rsidTr="00F027E7">
        <w:tc>
          <w:tcPr>
            <w:tcW w:w="3256" w:type="dxa"/>
          </w:tcPr>
          <w:p w14:paraId="1D5C97F8" w14:textId="77777777" w:rsidR="00F027E7" w:rsidRPr="00E408C7" w:rsidRDefault="00F027E7" w:rsidP="00F027E7">
            <w:pPr>
              <w:tabs>
                <w:tab w:val="clear" w:pos="567"/>
              </w:tabs>
              <w:snapToGrid/>
              <w:spacing w:after="160"/>
              <w:rPr>
                <w:b/>
                <w:bCs/>
                <w:color w:val="000000"/>
                <w:sz w:val="20"/>
                <w:szCs w:val="20"/>
              </w:rPr>
            </w:pPr>
            <w:r w:rsidRPr="00E408C7">
              <w:rPr>
                <w:b/>
                <w:bCs/>
                <w:color w:val="000000"/>
                <w:sz w:val="20"/>
                <w:szCs w:val="20"/>
                <w:lang w:val="ru"/>
              </w:rPr>
              <w:t>Рекомендация 6: Укрепление стратегической направленности и воздействия мероприятий в рамках Десятилетия ООН, посвященного науке об океане, для улучшения согласованности с глобальными и национальными приоритетами, продвижения инноваций, поддержки использования знаний и обеспечения практического применения для получения ощутимых выгод государствами-членами и экосистемой.</w:t>
            </w:r>
          </w:p>
        </w:tc>
        <w:tc>
          <w:tcPr>
            <w:tcW w:w="6520" w:type="dxa"/>
          </w:tcPr>
          <w:p w14:paraId="043EBBDF" w14:textId="77777777" w:rsidR="00F027E7" w:rsidRPr="00E408C7" w:rsidRDefault="00F027E7" w:rsidP="00F027E7">
            <w:pPr>
              <w:tabs>
                <w:tab w:val="clear" w:pos="567"/>
              </w:tabs>
              <w:snapToGrid/>
              <w:spacing w:before="120" w:after="120"/>
              <w:jc w:val="both"/>
              <w:rPr>
                <w:b/>
                <w:bCs/>
                <w:color w:val="000000"/>
                <w:sz w:val="20"/>
                <w:szCs w:val="20"/>
              </w:rPr>
            </w:pPr>
            <w:r w:rsidRPr="00E408C7">
              <w:rPr>
                <w:b/>
                <w:bCs/>
                <w:color w:val="000000"/>
                <w:sz w:val="20"/>
                <w:szCs w:val="20"/>
                <w:lang w:val="ru"/>
              </w:rPr>
              <w:t xml:space="preserve">Принята. </w:t>
            </w:r>
          </w:p>
          <w:p w14:paraId="75BA0505"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Консолидация разнообразного и постоянно растущего портфеля мероприятий в рамках Десятилетия является единственной наиболее насущной задачей на вторую половину Десятилетия и требует систематического и структурированного подхода, подкрепленного соответствующими ресурсами. В целом, существует необходимость повысить амбиции и демонстрацию воздействия Десятилетия с точки зрения влияния на процесс принятия решений на национальном, региональном и глобальном уровнях. </w:t>
            </w:r>
          </w:p>
          <w:p w14:paraId="7C5F74B1"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Для этого будут разработаны усовершенствованные и новые процессы, нацеленные на более глубокое понимание, подотчетность и отчетность со стороны мероприятий в рамках Десятилетия в отношении сотрудничества и влияния на принятие решений. </w:t>
            </w:r>
          </w:p>
          <w:p w14:paraId="750CAF72" w14:textId="77777777" w:rsidR="00F027E7" w:rsidRPr="00E408C7" w:rsidRDefault="00F027E7" w:rsidP="00F027E7">
            <w:pPr>
              <w:tabs>
                <w:tab w:val="clear" w:pos="567"/>
              </w:tabs>
              <w:snapToGrid/>
              <w:spacing w:before="120" w:after="120"/>
              <w:jc w:val="both"/>
              <w:rPr>
                <w:color w:val="000000"/>
                <w:sz w:val="20"/>
                <w:szCs w:val="20"/>
              </w:rPr>
            </w:pPr>
            <w:r w:rsidRPr="00E408C7">
              <w:rPr>
                <w:color w:val="000000"/>
                <w:sz w:val="20"/>
                <w:szCs w:val="20"/>
                <w:lang w:val="ru"/>
              </w:rPr>
              <w:t xml:space="preserve">Будет разработана и внедрена более строгая процедура Запроса предложений по проведению Десятилетия, позволяющая гарантировать, что новые мероприятия в рамках Десятилетия соответствуют выявленным пробелам в приоритетных знаниях и политике, что были определены осязаемые пути воздействия на процесс принятия решений и что они активно сотрудничают с партнерами во всей экосистеме Десятилетия, включая другие мероприятия в рамках Десятилетия, децентрализованные координирующие структуры и Национальные комитеты по проведению Десятилетия. </w:t>
            </w:r>
          </w:p>
          <w:p w14:paraId="02B3A014"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Как указано в ответе на рекомендацию 7, структура мониторинга и оценки будет улучшена в целях обеспечения лучшее отслеживание воздействия мероприятий в рамках Десятилетия, включая повышение ответственности за самоотчетность о воздействии на принятие решений в интересах устойчивого развития, хотя и с учетом задержки между доступностью науки и знаний и принятием решений.  </w:t>
            </w:r>
          </w:p>
          <w:p w14:paraId="4010D5E4"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 xml:space="preserve">В рамках Международной конференции, посвященной Десятилетию науки об океане, 2027 года и в процессе подготовки к Конференции будут использованы результаты процесса «Видение 2030». Они будут применены при определении структуры для оценки оставшихся пробелов в реализации посредством расширенного сотрудничества по всему портфелю программ в рамках Десятилетия и в экосистеме Десятилетия (региональной, тематической, национальной). Эта работа будет использована для адаптации будущих усилий по мобилизации ресурсов вокруг комплекса высокоприоритетных тем и регионов и определения основ консолидированного наследия Десятилетия после 2030 года. </w:t>
            </w:r>
          </w:p>
        </w:tc>
      </w:tr>
      <w:tr w:rsidR="00F027E7" w:rsidRPr="0073624F" w14:paraId="5821BF39" w14:textId="77777777" w:rsidTr="00F027E7">
        <w:tc>
          <w:tcPr>
            <w:tcW w:w="3256" w:type="dxa"/>
          </w:tcPr>
          <w:p w14:paraId="17EFC078" w14:textId="77777777" w:rsidR="00F027E7" w:rsidRPr="00E408C7" w:rsidRDefault="00F027E7" w:rsidP="00F027E7">
            <w:pPr>
              <w:tabs>
                <w:tab w:val="clear" w:pos="567"/>
              </w:tabs>
              <w:snapToGrid/>
              <w:spacing w:after="160"/>
              <w:rPr>
                <w:b/>
                <w:bCs/>
                <w:color w:val="000000"/>
                <w:sz w:val="20"/>
                <w:szCs w:val="20"/>
                <w:lang w:val="ru"/>
              </w:rPr>
            </w:pPr>
            <w:r w:rsidRPr="00E408C7">
              <w:rPr>
                <w:b/>
                <w:bCs/>
                <w:color w:val="000000"/>
                <w:sz w:val="20"/>
                <w:szCs w:val="20"/>
                <w:lang w:val="ru"/>
              </w:rPr>
              <w:t>Рекомендация 7: Укрепление существующей структуры мониторинга и оценки (МО) в целях ее преобразования в систему мониторинга, оценки и обучения (МОО).</w:t>
            </w:r>
          </w:p>
        </w:tc>
        <w:tc>
          <w:tcPr>
            <w:tcW w:w="6520" w:type="dxa"/>
          </w:tcPr>
          <w:p w14:paraId="63B76A1F" w14:textId="77777777" w:rsidR="00F027E7" w:rsidRPr="00E408C7" w:rsidRDefault="00F027E7" w:rsidP="00F027E7">
            <w:pPr>
              <w:tabs>
                <w:tab w:val="clear" w:pos="567"/>
              </w:tabs>
              <w:snapToGrid/>
              <w:spacing w:before="120" w:after="120"/>
              <w:jc w:val="both"/>
              <w:rPr>
                <w:b/>
                <w:bCs/>
                <w:color w:val="000000"/>
                <w:sz w:val="20"/>
                <w:szCs w:val="20"/>
                <w:lang w:val="ru"/>
              </w:rPr>
            </w:pPr>
            <w:r w:rsidRPr="00E408C7">
              <w:rPr>
                <w:b/>
                <w:bCs/>
                <w:color w:val="000000"/>
                <w:sz w:val="20"/>
                <w:szCs w:val="20"/>
                <w:lang w:val="ru"/>
              </w:rPr>
              <w:t xml:space="preserve">Принята. </w:t>
            </w:r>
          </w:p>
          <w:p w14:paraId="0E6F1FC0" w14:textId="77777777" w:rsidR="00F027E7" w:rsidRPr="00E408C7" w:rsidRDefault="00F027E7" w:rsidP="00F027E7">
            <w:pPr>
              <w:tabs>
                <w:tab w:val="clear" w:pos="567"/>
              </w:tabs>
              <w:snapToGrid/>
              <w:spacing w:before="120" w:after="120"/>
              <w:jc w:val="both"/>
              <w:rPr>
                <w:color w:val="000000"/>
                <w:sz w:val="20"/>
                <w:szCs w:val="20"/>
                <w:lang w:val="ru"/>
              </w:rPr>
            </w:pPr>
            <w:r w:rsidRPr="00E408C7">
              <w:rPr>
                <w:color w:val="000000"/>
                <w:sz w:val="20"/>
                <w:szCs w:val="20"/>
                <w:lang w:val="ru"/>
              </w:rPr>
              <w:t>Десятилетие имеет в своем арсенале структуру мониторинга и оценки, которая была внедрена и постоянно совершенствовалась с момента первого мероприятия по сбору данных в 2022 году. Дальнейшие усилия будут сосредоточены на: (i) отслеживании воздействия и прогресса на уровне Приоритетных задач Десятилетия науки об океане на основе результатов процесса «Видение 2030»; (ii) оценке воздействия Десятилетия на взаимодействие науки, политики и общества, включая то, как научные знания, полученные в ходе Десятилетия, влияют на принятие решений в обществе.</w:t>
            </w:r>
            <w:r w:rsidRPr="00E408C7">
              <w:rPr>
                <w:color w:val="000000"/>
                <w:sz w:val="24"/>
                <w:lang w:val="ru"/>
              </w:rPr>
              <w:t xml:space="preserve"> </w:t>
            </w:r>
          </w:p>
        </w:tc>
      </w:tr>
      <w:tr w:rsidR="00F027E7" w:rsidRPr="00E408C7" w14:paraId="43FBF6CF" w14:textId="77777777" w:rsidTr="00F027E7">
        <w:tc>
          <w:tcPr>
            <w:tcW w:w="3256" w:type="dxa"/>
          </w:tcPr>
          <w:p w14:paraId="21B1C992" w14:textId="77777777" w:rsidR="00F027E7" w:rsidRPr="00E408C7" w:rsidRDefault="00F027E7" w:rsidP="00F027E7">
            <w:pPr>
              <w:tabs>
                <w:tab w:val="clear" w:pos="567"/>
              </w:tabs>
              <w:snapToGrid/>
              <w:spacing w:after="160"/>
              <w:rPr>
                <w:b/>
                <w:bCs/>
                <w:color w:val="000000"/>
                <w:sz w:val="20"/>
                <w:szCs w:val="20"/>
                <w:lang w:val="ru"/>
              </w:rPr>
            </w:pPr>
            <w:r w:rsidRPr="00E408C7">
              <w:rPr>
                <w:b/>
                <w:bCs/>
                <w:color w:val="000000"/>
                <w:sz w:val="20"/>
                <w:szCs w:val="20"/>
                <w:lang w:val="ru"/>
              </w:rPr>
              <w:lastRenderedPageBreak/>
              <w:t>Рекомендация 8: Систематическое использование Десятилетия для формирования повестки дня ЮНЕСКО-МОК на период после 2030 года и усиления эффекта ее программ.</w:t>
            </w:r>
          </w:p>
        </w:tc>
        <w:tc>
          <w:tcPr>
            <w:tcW w:w="6520" w:type="dxa"/>
          </w:tcPr>
          <w:p w14:paraId="3C8EB40A" w14:textId="77777777" w:rsidR="00F027E7" w:rsidRPr="00E408C7" w:rsidRDefault="00F027E7" w:rsidP="00F027E7">
            <w:pPr>
              <w:tabs>
                <w:tab w:val="clear" w:pos="567"/>
              </w:tabs>
              <w:snapToGrid/>
              <w:spacing w:before="120" w:after="120"/>
              <w:jc w:val="both"/>
              <w:rPr>
                <w:b/>
                <w:bCs/>
                <w:color w:val="000000"/>
                <w:sz w:val="20"/>
                <w:szCs w:val="20"/>
                <w:lang w:val="ru"/>
              </w:rPr>
            </w:pPr>
            <w:r w:rsidRPr="00E408C7">
              <w:rPr>
                <w:b/>
                <w:bCs/>
                <w:color w:val="000000"/>
                <w:sz w:val="20"/>
                <w:szCs w:val="20"/>
                <w:lang w:val="ru"/>
              </w:rPr>
              <w:t xml:space="preserve">Принята. </w:t>
            </w:r>
          </w:p>
          <w:p w14:paraId="499DC0D8" w14:textId="77777777" w:rsidR="00F027E7" w:rsidRPr="00E408C7" w:rsidRDefault="00F027E7" w:rsidP="00F027E7">
            <w:pPr>
              <w:tabs>
                <w:tab w:val="clear" w:pos="567"/>
              </w:tabs>
              <w:snapToGrid/>
              <w:spacing w:before="120" w:after="120"/>
              <w:jc w:val="both"/>
              <w:rPr>
                <w:color w:val="000000"/>
                <w:sz w:val="20"/>
                <w:szCs w:val="20"/>
              </w:rPr>
            </w:pPr>
            <w:r w:rsidRPr="00E408C7">
              <w:rPr>
                <w:color w:val="000000"/>
                <w:sz w:val="20"/>
                <w:szCs w:val="20"/>
                <w:lang w:val="ru"/>
              </w:rPr>
              <w:t xml:space="preserve">Неспособность использовать Десятилетие для формирования будущего МОК будет считаться упущенной возможностью. С момента своего провозглашения Десятилетие активно привлекало внимание к МОК и повышало осведомленность о ее роли в системе ООН. Оно открыло возможности для новых партнерских отношений и ресурсов и привело к появлению инновационных и новых областей работы для МОК. Не вся деятельность под руководством МОК в рамках Десятилетия будет продолжаться после 2030 года, однако основные инициативы в области океанографических наблюдений, океанографических данных, устойчивого планирования океана, развития потенциала, готовности к цунами и закисления океана имеют потенциал повлиять на будущее направление программной работы МОК и обеспечение ее ресурсами. Региональные координирующие структуры под руководством МОК, при наличии достаточных ресурсов, имеют потенциал закрепить роль МОК в отношениях с региональными партнерами. Определение инициатив под руководством МОК, составляющих наследие после Десятилетия, также будет способствовать разработке целенаправленного и индивидуального подхода к мобилизации ресурсов для высокоприоритетных тем или регионов. Такие группы, как «Диалог благотворительных фондов» и Альянс в поддержку Десятилетия науки об океане, станут будущими долгосрочными союзниками и покровителями деятельности МОК благодаря их воздействию посредством Десятилетия. В преддверии Международной конференции, посвященной Десятилетию науки об океане, 2027 года и параллельно с другими инициативами МОК, задающими направление стратегических дискуссий с государствами-членами относительно будущих приоритетов МОК, включая процесс «МОК и будущее океана», будут определены конкретные действия, которые обеспечат благополучие существующих или новых основных инициатив и структур Десятилетия после 2030 года и приведут к укреплению МОК. </w:t>
            </w:r>
          </w:p>
        </w:tc>
      </w:tr>
    </w:tbl>
    <w:p w14:paraId="343842F5" w14:textId="77777777" w:rsidR="00F027E7" w:rsidRPr="00E408C7" w:rsidRDefault="00F027E7" w:rsidP="00F027E7">
      <w:pPr>
        <w:tabs>
          <w:tab w:val="clear" w:pos="567"/>
        </w:tabs>
        <w:snapToGrid/>
        <w:spacing w:after="160" w:line="360" w:lineRule="auto"/>
        <w:rPr>
          <w:rFonts w:eastAsia="DengXian" w:cs="Arial"/>
          <w:snapToGrid/>
          <w:kern w:val="2"/>
          <w:sz w:val="20"/>
          <w:szCs w:val="20"/>
          <w14:ligatures w14:val="standardContextual"/>
        </w:rPr>
      </w:pPr>
    </w:p>
    <w:p w14:paraId="6D6D9016" w14:textId="77777777" w:rsidR="00F027E7" w:rsidRPr="00E408C7" w:rsidRDefault="00F027E7" w:rsidP="00F027E7">
      <w:pPr>
        <w:tabs>
          <w:tab w:val="clear" w:pos="567"/>
        </w:tabs>
        <w:snapToGrid/>
        <w:spacing w:after="160" w:line="259" w:lineRule="auto"/>
        <w:rPr>
          <w:rFonts w:eastAsia="DengXian" w:cs="Arial"/>
          <w:snapToGrid/>
          <w:kern w:val="2"/>
          <w:sz w:val="20"/>
          <w:szCs w:val="20"/>
          <w14:ligatures w14:val="standardContextual"/>
        </w:rPr>
      </w:pPr>
      <w:r w:rsidRPr="00E408C7">
        <w:rPr>
          <w:rFonts w:eastAsia="DengXian" w:cs="Arial"/>
          <w:snapToGrid/>
          <w:kern w:val="2"/>
          <w:sz w:val="20"/>
          <w:szCs w:val="20"/>
          <w:lang w:val="ru"/>
          <w14:ligatures w14:val="standardContextual"/>
        </w:rPr>
        <w:br w:type="page"/>
      </w:r>
    </w:p>
    <w:p w14:paraId="1F3D8917" w14:textId="4359451B" w:rsidR="00F027E7" w:rsidRPr="00E408C7" w:rsidRDefault="00F027E7" w:rsidP="00F027E7">
      <w:pPr>
        <w:tabs>
          <w:tab w:val="clear" w:pos="567"/>
        </w:tabs>
        <w:snapToGrid/>
        <w:spacing w:after="240"/>
        <w:jc w:val="center"/>
        <w:rPr>
          <w:rFonts w:eastAsia="DengXian" w:cs="Arial"/>
          <w:b/>
          <w:bCs/>
          <w:snapToGrid/>
          <w:kern w:val="2"/>
          <w:sz w:val="20"/>
          <w:szCs w:val="20"/>
          <w14:ligatures w14:val="standardContextual"/>
        </w:rPr>
      </w:pPr>
      <w:r w:rsidRPr="00E408C7">
        <w:rPr>
          <w:rFonts w:eastAsia="DengXian" w:cs="Arial"/>
          <w:b/>
          <w:bCs/>
          <w:snapToGrid/>
          <w:kern w:val="2"/>
          <w:sz w:val="20"/>
          <w:szCs w:val="20"/>
          <w14:ligatures w14:val="standardContextual"/>
        </w:rPr>
        <w:lastRenderedPageBreak/>
        <w:t xml:space="preserve">ANNEX 2 - STATEMENT FROM DECADE ADVISORY BOARD </w:t>
      </w:r>
      <w:r w:rsidR="0073624F">
        <w:rPr>
          <w:rFonts w:eastAsia="DengXian" w:cs="Arial"/>
          <w:b/>
          <w:bCs/>
          <w:snapToGrid/>
          <w:kern w:val="2"/>
          <w:sz w:val="20"/>
          <w:szCs w:val="20"/>
          <w14:ligatures w14:val="standardContextual"/>
        </w:rPr>
        <w:br/>
      </w:r>
      <w:r w:rsidRPr="00E408C7">
        <w:rPr>
          <w:rFonts w:eastAsia="DengXian" w:cs="Arial"/>
          <w:b/>
          <w:bCs/>
          <w:snapToGrid/>
          <w:kern w:val="2"/>
          <w:sz w:val="20"/>
          <w:szCs w:val="20"/>
          <w14:ligatures w14:val="standardContextual"/>
        </w:rPr>
        <w:t>IN RELATION TO THE MID-TERM EVALUATION REPORT</w:t>
      </w:r>
    </w:p>
    <w:p w14:paraId="16C0FCD1" w14:textId="77777777" w:rsidR="00F027E7" w:rsidRPr="00E408C7" w:rsidRDefault="00F027E7" w:rsidP="00F027E7">
      <w:pPr>
        <w:tabs>
          <w:tab w:val="clear" w:pos="567"/>
        </w:tabs>
        <w:snapToGrid/>
        <w:spacing w:after="240"/>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April 29, 2025 </w:t>
      </w:r>
    </w:p>
    <w:p w14:paraId="04AFA004" w14:textId="77777777" w:rsidR="00F027E7" w:rsidRPr="00E408C7"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The Decade Advisory Board (DAB) for the United Nations Decade of Ocean Science for Sustainable Development recognises the extensive efforts invested in the Mid-term Evaluation of the Ocean Decade and thanks the evaluation team for their significant efforts. This substantial undertaking incorporated a diverse range of perspectives from Decade stakeholders (e.g. scientists, practitioners and community members). </w:t>
      </w:r>
    </w:p>
    <w:p w14:paraId="609A74DF" w14:textId="59659D5F" w:rsidR="00F027E7" w:rsidRPr="00E408C7"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The significant volume of responses to the survey and interviews is a testament to the evaluation team's dedication and an unequivocal indicator of the Ocean Decade's success in engaging a broad and qualified audience. The Ocean Decades progress toward accomplishing its expected outcomes and overcoming the mapped scientific challenges, including the surpassing financial, communication, and institutional issues, was fully evidenced. This positive engagement and feedback reflect the determined efforts of the Decade Coordination Unit (DCU). </w:t>
      </w:r>
    </w:p>
    <w:p w14:paraId="20826A6D" w14:textId="77777777" w:rsidR="00F027E7" w:rsidRPr="00E408C7"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The evaluation process also brought a diversified array of recommendations to advance the execution of the OD Implementation Plan and achieve its expected outcomes. However, given the vast and varied stakeholder community, it is evident that there is some misalignment between the Decade's objectives and the expectations of some stakeholders. This misalignment is highlighted in the suggested actions and changes provided through the evaluation process. </w:t>
      </w:r>
    </w:p>
    <w:p w14:paraId="4639A227" w14:textId="77777777" w:rsidR="00F027E7" w:rsidRPr="00E408C7" w:rsidRDefault="00F027E7" w:rsidP="00F027E7">
      <w:pPr>
        <w:tabs>
          <w:tab w:val="clear" w:pos="567"/>
        </w:tabs>
        <w:snapToGrid/>
        <w:spacing w:after="240"/>
        <w:rPr>
          <w:rFonts w:ascii="Calibri" w:eastAsia="DengXian" w:hAnsi="Calibri" w:cs="Arial"/>
          <w:snapToGrid/>
          <w:kern w:val="2"/>
          <w:szCs w:val="22"/>
          <w14:ligatures w14:val="standardContextual"/>
        </w:rPr>
      </w:pPr>
      <w:proofErr w:type="gramStart"/>
      <w:r w:rsidRPr="00E408C7">
        <w:rPr>
          <w:rFonts w:ascii="Calibri" w:eastAsia="DengXian" w:hAnsi="Calibri" w:cs="Arial"/>
          <w:snapToGrid/>
          <w:kern w:val="2"/>
          <w:szCs w:val="22"/>
          <w14:ligatures w14:val="standardContextual"/>
        </w:rPr>
        <w:t>In light of</w:t>
      </w:r>
      <w:proofErr w:type="gramEnd"/>
      <w:r w:rsidRPr="00E408C7">
        <w:rPr>
          <w:rFonts w:ascii="Calibri" w:eastAsia="DengXian" w:hAnsi="Calibri" w:cs="Arial"/>
          <w:snapToGrid/>
          <w:kern w:val="2"/>
          <w:szCs w:val="22"/>
          <w14:ligatures w14:val="standardContextual"/>
        </w:rPr>
        <w:t xml:space="preserve"> these observations, the Ocean DAB wishes to emphasize: </w:t>
      </w:r>
    </w:p>
    <w:p w14:paraId="2C0E81BE" w14:textId="77777777" w:rsidR="00F027E7" w:rsidRPr="00E408C7" w:rsidRDefault="00F027E7" w:rsidP="00F027E7">
      <w:pPr>
        <w:numPr>
          <w:ilvl w:val="0"/>
          <w:numId w:val="29"/>
        </w:numPr>
        <w:tabs>
          <w:tab w:val="clear" w:pos="567"/>
        </w:tabs>
        <w:snapToGrid/>
        <w:spacing w:after="240"/>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Our support for the DCU to continue delivering the Decade at a high level, despite the persistent lack of adequate resources, both financial and personnel, and systemic challenges that impact the Decade. </w:t>
      </w:r>
    </w:p>
    <w:p w14:paraId="43942C1E" w14:textId="77777777" w:rsidR="00F027E7" w:rsidRPr="00E408C7" w:rsidRDefault="00F027E7" w:rsidP="00F027E7">
      <w:pPr>
        <w:numPr>
          <w:ilvl w:val="0"/>
          <w:numId w:val="29"/>
        </w:numPr>
        <w:tabs>
          <w:tab w:val="clear" w:pos="567"/>
        </w:tabs>
        <w:snapToGrid/>
        <w:spacing w:after="240"/>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Our recognition of the achievements of the Decade thus far, the engaged community, and the potential for further accomplishments in the remaining five years. The ocean is vital to our lives and economies, and there is still much to be done. The Decade has the momentum to galvanize these efforts. </w:t>
      </w:r>
    </w:p>
    <w:p w14:paraId="266D496D" w14:textId="77777777" w:rsidR="00F027E7" w:rsidRPr="00E408C7"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We note that many of the suggested actions for the second half of the Decade are unlikely to be achievable within the current resourcing levels. While some adjustments can and will be made, more substantive actions to better realize Ocean Decade outcomes cannot be implemented without additional financing and partnerships (including with other UN agencies). In this context, improving the engagement of youth and women - especially from SIDS and LDCs - through the work of National Decade Committees would ensure their voices and knowledge are valued. Now, more than ever, we need support to achieve the Decade's transformative objectives. </w:t>
      </w:r>
    </w:p>
    <w:p w14:paraId="49A69BDC" w14:textId="77777777" w:rsidR="00F027E7" w:rsidRPr="00E408C7"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In closing, we extend our heartfelt thanks and recognition to the DCU team and the evaluation team for their tireless efforts. The work of both teams enhances the Decade's significance for stakeholders and contributes to creating the science we need for the ocean we want. </w:t>
      </w:r>
    </w:p>
    <w:p w14:paraId="17B628C8" w14:textId="77777777" w:rsidR="00F027E7" w:rsidRPr="00E408C7"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The Ocean DAB remains committed to supporting the Decade's initiatives and fostering collaboration among stakeholders. We believe that with continued dedication and increased support, the Decade can achieve its ambitious goals and make a lasting impact on ocean science, sustainability, and society. </w:t>
      </w:r>
    </w:p>
    <w:p w14:paraId="42473CAD" w14:textId="77777777" w:rsidR="00F027E7" w:rsidRPr="00E408C7" w:rsidRDefault="00F027E7" w:rsidP="00AE1CE1">
      <w:pPr>
        <w:tabs>
          <w:tab w:val="clear" w:pos="567"/>
        </w:tabs>
        <w:snapToGrid/>
        <w:jc w:val="both"/>
        <w:rPr>
          <w:rFonts w:ascii="Calibri" w:eastAsia="DengXian" w:hAnsi="Calibri" w:cs="Arial"/>
          <w:i/>
          <w:iCs/>
          <w:snapToGrid/>
          <w:kern w:val="2"/>
          <w:szCs w:val="22"/>
          <w14:ligatures w14:val="standardContextual"/>
        </w:rPr>
      </w:pPr>
      <w:r w:rsidRPr="00E408C7">
        <w:rPr>
          <w:rFonts w:ascii="Calibri" w:eastAsia="DengXian" w:hAnsi="Calibri" w:cs="Arial"/>
          <w:i/>
          <w:iCs/>
          <w:snapToGrid/>
          <w:kern w:val="2"/>
          <w:szCs w:val="22"/>
          <w14:ligatures w14:val="standardContextual"/>
        </w:rPr>
        <w:t xml:space="preserve">Expert Members of the Advisory Board of the UN Decade of Ocean Science for Sustainable Development: </w:t>
      </w:r>
    </w:p>
    <w:p w14:paraId="41EF7F48"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Charlotte Hudson, Co-Chair </w:t>
      </w:r>
    </w:p>
    <w:p w14:paraId="1BF2BD1B"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Alexander Turra, Co-Chair </w:t>
      </w:r>
    </w:p>
    <w:p w14:paraId="4A4D8761"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Donovan Campbell </w:t>
      </w:r>
    </w:p>
    <w:p w14:paraId="1B4F7486"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lastRenderedPageBreak/>
        <w:t xml:space="preserve">Awa Bousso Drame </w:t>
      </w:r>
    </w:p>
    <w:p w14:paraId="5235FBD1"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Linda Faulkner </w:t>
      </w:r>
    </w:p>
    <w:p w14:paraId="7C0A512C"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Jose Maria Figueres Olsen </w:t>
      </w:r>
    </w:p>
    <w:p w14:paraId="32D8F36E"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Gideon Henderson </w:t>
      </w:r>
    </w:p>
    <w:p w14:paraId="47FF92E9" w14:textId="77777777" w:rsidR="00F027E7" w:rsidRPr="0073624F" w:rsidRDefault="00F027E7" w:rsidP="00AE1CE1">
      <w:pPr>
        <w:tabs>
          <w:tab w:val="clear" w:pos="567"/>
        </w:tabs>
        <w:snapToGrid/>
        <w:rPr>
          <w:rFonts w:ascii="Calibri" w:eastAsia="DengXian" w:hAnsi="Calibri" w:cs="Arial"/>
          <w:snapToGrid/>
          <w:kern w:val="2"/>
          <w:szCs w:val="22"/>
          <w:lang w:val="fr-FR"/>
          <w14:ligatures w14:val="standardContextual"/>
        </w:rPr>
      </w:pPr>
      <w:r w:rsidRPr="0073624F">
        <w:rPr>
          <w:rFonts w:ascii="Calibri" w:eastAsia="DengXian" w:hAnsi="Calibri" w:cs="Arial"/>
          <w:snapToGrid/>
          <w:kern w:val="2"/>
          <w:szCs w:val="22"/>
          <w:lang w:val="fr-FR"/>
          <w14:ligatures w14:val="standardContextual"/>
        </w:rPr>
        <w:t xml:space="preserve">Michelle </w:t>
      </w:r>
      <w:proofErr w:type="spellStart"/>
      <w:r w:rsidRPr="0073624F">
        <w:rPr>
          <w:rFonts w:ascii="Calibri" w:eastAsia="DengXian" w:hAnsi="Calibri" w:cs="Arial"/>
          <w:snapToGrid/>
          <w:kern w:val="2"/>
          <w:szCs w:val="22"/>
          <w:lang w:val="fr-FR"/>
          <w14:ligatures w14:val="standardContextual"/>
        </w:rPr>
        <w:t>Heupel</w:t>
      </w:r>
      <w:proofErr w:type="spellEnd"/>
      <w:r w:rsidRPr="0073624F">
        <w:rPr>
          <w:rFonts w:ascii="Calibri" w:eastAsia="DengXian" w:hAnsi="Calibri" w:cs="Arial"/>
          <w:snapToGrid/>
          <w:kern w:val="2"/>
          <w:szCs w:val="22"/>
          <w:lang w:val="fr-FR"/>
          <w14:ligatures w14:val="standardContextual"/>
        </w:rPr>
        <w:t xml:space="preserve"> </w:t>
      </w:r>
    </w:p>
    <w:p w14:paraId="32B3C737" w14:textId="77777777" w:rsidR="00F027E7" w:rsidRPr="0073624F" w:rsidRDefault="00F027E7" w:rsidP="00AE1CE1">
      <w:pPr>
        <w:tabs>
          <w:tab w:val="clear" w:pos="567"/>
        </w:tabs>
        <w:snapToGrid/>
        <w:rPr>
          <w:rFonts w:ascii="Calibri" w:eastAsia="DengXian" w:hAnsi="Calibri" w:cs="Arial"/>
          <w:snapToGrid/>
          <w:kern w:val="2"/>
          <w:szCs w:val="22"/>
          <w:lang w:val="fr-FR"/>
          <w14:ligatures w14:val="standardContextual"/>
        </w:rPr>
      </w:pPr>
      <w:r w:rsidRPr="0073624F">
        <w:rPr>
          <w:rFonts w:ascii="Calibri" w:eastAsia="DengXian" w:hAnsi="Calibri" w:cs="Arial"/>
          <w:snapToGrid/>
          <w:kern w:val="2"/>
          <w:szCs w:val="22"/>
          <w:lang w:val="fr-FR"/>
          <w14:ligatures w14:val="standardContextual"/>
        </w:rPr>
        <w:t xml:space="preserve">Adrian </w:t>
      </w:r>
      <w:proofErr w:type="spellStart"/>
      <w:r w:rsidRPr="0073624F">
        <w:rPr>
          <w:rFonts w:ascii="Calibri" w:eastAsia="DengXian" w:hAnsi="Calibri" w:cs="Arial"/>
          <w:snapToGrid/>
          <w:kern w:val="2"/>
          <w:szCs w:val="22"/>
          <w:lang w:val="fr-FR"/>
          <w14:ligatures w14:val="standardContextual"/>
        </w:rPr>
        <w:t>Lema</w:t>
      </w:r>
      <w:proofErr w:type="spellEnd"/>
      <w:r w:rsidRPr="0073624F">
        <w:rPr>
          <w:rFonts w:ascii="Calibri" w:eastAsia="DengXian" w:hAnsi="Calibri" w:cs="Arial"/>
          <w:snapToGrid/>
          <w:kern w:val="2"/>
          <w:szCs w:val="22"/>
          <w:lang w:val="fr-FR"/>
          <w14:ligatures w14:val="standardContextual"/>
        </w:rPr>
        <w:t xml:space="preserve"> </w:t>
      </w:r>
    </w:p>
    <w:p w14:paraId="35EE6944" w14:textId="77777777" w:rsidR="00F027E7" w:rsidRPr="0073624F" w:rsidRDefault="00F027E7" w:rsidP="00AE1CE1">
      <w:pPr>
        <w:tabs>
          <w:tab w:val="clear" w:pos="567"/>
        </w:tabs>
        <w:snapToGrid/>
        <w:rPr>
          <w:rFonts w:ascii="Calibri" w:eastAsia="DengXian" w:hAnsi="Calibri" w:cs="Arial"/>
          <w:snapToGrid/>
          <w:kern w:val="2"/>
          <w:szCs w:val="22"/>
          <w:lang w:val="fr-FR"/>
          <w14:ligatures w14:val="standardContextual"/>
        </w:rPr>
      </w:pPr>
      <w:r w:rsidRPr="0073624F">
        <w:rPr>
          <w:rFonts w:ascii="Calibri" w:eastAsia="DengXian" w:hAnsi="Calibri" w:cs="Arial"/>
          <w:snapToGrid/>
          <w:kern w:val="2"/>
          <w:szCs w:val="22"/>
          <w:lang w:val="fr-FR"/>
          <w14:ligatures w14:val="standardContextual"/>
        </w:rPr>
        <w:t xml:space="preserve">Angelique </w:t>
      </w:r>
      <w:proofErr w:type="spellStart"/>
      <w:r w:rsidRPr="0073624F">
        <w:rPr>
          <w:rFonts w:ascii="Calibri" w:eastAsia="DengXian" w:hAnsi="Calibri" w:cs="Arial"/>
          <w:snapToGrid/>
          <w:kern w:val="2"/>
          <w:szCs w:val="22"/>
          <w:lang w:val="fr-FR"/>
          <w14:ligatures w14:val="standardContextual"/>
        </w:rPr>
        <w:t>Pouponneau</w:t>
      </w:r>
      <w:proofErr w:type="spellEnd"/>
      <w:r w:rsidRPr="0073624F">
        <w:rPr>
          <w:rFonts w:ascii="Calibri" w:eastAsia="DengXian" w:hAnsi="Calibri" w:cs="Arial"/>
          <w:snapToGrid/>
          <w:kern w:val="2"/>
          <w:szCs w:val="22"/>
          <w:lang w:val="fr-FR"/>
          <w14:ligatures w14:val="standardContextual"/>
        </w:rPr>
        <w:t xml:space="preserve"> </w:t>
      </w:r>
    </w:p>
    <w:p w14:paraId="164918D7"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Julie Reimer </w:t>
      </w:r>
    </w:p>
    <w:p w14:paraId="0D4AC05B"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Hiroaki Saito </w:t>
      </w:r>
    </w:p>
    <w:p w14:paraId="07C22B25"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Marc Simon </w:t>
      </w:r>
    </w:p>
    <w:p w14:paraId="3EFDD3E1"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Katy Soapi </w:t>
      </w:r>
    </w:p>
    <w:p w14:paraId="2AB62360"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 xml:space="preserve">Nina Wambiji </w:t>
      </w:r>
    </w:p>
    <w:p w14:paraId="2877DC0A" w14:textId="77777777" w:rsidR="00F027E7" w:rsidRPr="00E408C7" w:rsidRDefault="00F027E7" w:rsidP="00AE1CE1">
      <w:pPr>
        <w:tabs>
          <w:tab w:val="clear" w:pos="567"/>
        </w:tabs>
        <w:snapToGrid/>
        <w:rPr>
          <w:rFonts w:ascii="Calibri" w:eastAsia="DengXian" w:hAnsi="Calibri" w:cs="Arial"/>
          <w:i/>
          <w:iCs/>
          <w:snapToGrid/>
          <w:kern w:val="2"/>
          <w:szCs w:val="22"/>
          <w14:ligatures w14:val="standardContextual"/>
        </w:rPr>
      </w:pPr>
      <w:r w:rsidRPr="00E408C7">
        <w:rPr>
          <w:rFonts w:ascii="Calibri" w:eastAsia="DengXian" w:hAnsi="Calibri" w:cs="Arial"/>
          <w:i/>
          <w:iCs/>
          <w:snapToGrid/>
          <w:kern w:val="2"/>
          <w:szCs w:val="22"/>
          <w14:ligatures w14:val="standardContextual"/>
        </w:rPr>
        <w:t xml:space="preserve">United Nations Observer Agencies </w:t>
      </w:r>
    </w:p>
    <w:p w14:paraId="19412E06" w14:textId="77777777" w:rsidR="00F027E7" w:rsidRPr="00E408C7" w:rsidRDefault="00F027E7" w:rsidP="00AE1CE1">
      <w:pPr>
        <w:tabs>
          <w:tab w:val="clear" w:pos="567"/>
        </w:tabs>
        <w:snapToGrid/>
        <w:rPr>
          <w:rFonts w:ascii="Calibri" w:eastAsia="DengXian" w:hAnsi="Calibri" w:cs="Arial"/>
          <w:snapToGrid/>
          <w:kern w:val="2"/>
          <w:szCs w:val="22"/>
          <w14:ligatures w14:val="standardContextual"/>
        </w:rPr>
      </w:pPr>
      <w:r w:rsidRPr="00E408C7">
        <w:rPr>
          <w:rFonts w:ascii="Calibri" w:eastAsia="DengXian" w:hAnsi="Calibri" w:cs="Arial"/>
          <w:snapToGrid/>
          <w:kern w:val="2"/>
          <w:szCs w:val="22"/>
          <w14:ligatures w14:val="standardContextual"/>
        </w:rPr>
        <w:t>Vera Agostini</w:t>
      </w:r>
    </w:p>
    <w:p w14:paraId="1E029855" w14:textId="00287D0D" w:rsidR="00890A26" w:rsidRPr="00E408C7" w:rsidRDefault="00890A26" w:rsidP="00F027E7">
      <w:pPr>
        <w:pStyle w:val="COI"/>
        <w:numPr>
          <w:ilvl w:val="0"/>
          <w:numId w:val="0"/>
        </w:numPr>
        <w:ind w:left="1276" w:hanging="502"/>
      </w:pPr>
    </w:p>
    <w:sectPr w:rsidR="00890A26" w:rsidRPr="00E408C7" w:rsidSect="00AE1CE1">
      <w:headerReference w:type="first" r:id="rId15"/>
      <w:pgSz w:w="11906" w:h="16838" w:code="9"/>
      <w:pgMar w:top="1418"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BE84" w14:textId="77777777" w:rsidR="00615636" w:rsidRDefault="00615636">
      <w:r>
        <w:separator/>
      </w:r>
    </w:p>
  </w:endnote>
  <w:endnote w:type="continuationSeparator" w:id="0">
    <w:p w14:paraId="09FC4AE1" w14:textId="77777777" w:rsidR="00615636" w:rsidRDefault="0061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9B53" w14:textId="77777777" w:rsidR="00615636" w:rsidRDefault="00615636">
      <w:r>
        <w:separator/>
      </w:r>
    </w:p>
  </w:footnote>
  <w:footnote w:type="continuationSeparator" w:id="0">
    <w:p w14:paraId="45DDCD54" w14:textId="77777777" w:rsidR="00615636" w:rsidRDefault="00615636">
      <w:r>
        <w:continuationSeparator/>
      </w:r>
    </w:p>
  </w:footnote>
  <w:footnote w:id="1">
    <w:p w14:paraId="2647E1AC" w14:textId="77777777" w:rsidR="00890A26" w:rsidRPr="0073624F" w:rsidRDefault="00890A26" w:rsidP="00890A26">
      <w:pPr>
        <w:pStyle w:val="FootnoteText"/>
        <w:rPr>
          <w:rFonts w:ascii="Candara" w:hAnsi="Candara"/>
        </w:rPr>
      </w:pPr>
      <w:r>
        <w:rPr>
          <w:rStyle w:val="FootnoteReference"/>
          <w:rFonts w:eastAsiaTheme="majorEastAsia"/>
          <w:lang w:val="ru"/>
        </w:rPr>
        <w:footnoteRef/>
      </w:r>
      <w:r>
        <w:rPr>
          <w:lang w:val="ru"/>
        </w:rPr>
        <w:t xml:space="preserve"> </w:t>
      </w:r>
      <w:r w:rsidRPr="0073624F">
        <w:rPr>
          <w:rFonts w:ascii="Candara" w:hAnsi="Candara"/>
          <w:lang w:val="ru"/>
        </w:rPr>
        <w:t>В настоящем докладе под «мероприятиями» понимаются проекты и программы. Типология мероприятий в рамках десятилетия приведена в Приложении 1.</w:t>
      </w:r>
    </w:p>
    <w:p w14:paraId="2EA95216" w14:textId="77777777" w:rsidR="00890A26" w:rsidRDefault="00890A26" w:rsidP="00890A2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26B7" w14:textId="77777777" w:rsidR="00020AA1" w:rsidRPr="00C962F0" w:rsidRDefault="00020AA1">
    <w:pPr>
      <w:pStyle w:val="Header"/>
      <w:rPr>
        <w:szCs w:val="22"/>
      </w:rPr>
    </w:pPr>
    <w:r>
      <w:rPr>
        <w:szCs w:val="22"/>
        <w:lang w:val="ru"/>
      </w:rPr>
      <w:t>ICG/CARIBE-EWS II/WD </w:t>
    </w:r>
    <w:r>
      <w:rPr>
        <w:szCs w:val="22"/>
        <w:highlight w:val="cyan"/>
        <w:lang w:val="ru"/>
      </w:rPr>
      <w:t>__</w:t>
    </w:r>
  </w:p>
  <w:p w14:paraId="4354FC6B" w14:textId="77777777" w:rsidR="00020AA1" w:rsidRPr="00C962F0" w:rsidRDefault="00020AA1">
    <w:pPr>
      <w:pStyle w:val="Header"/>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2</w:t>
    </w:r>
    <w:r>
      <w:rPr>
        <w:rStyle w:val="PageNumber"/>
        <w:szCs w:val="22"/>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1822" w14:textId="77777777" w:rsidR="00020AA1" w:rsidRPr="00746B89" w:rsidRDefault="00020AA1" w:rsidP="00DF2FB9">
    <w:pPr>
      <w:pStyle w:val="Header"/>
      <w:tabs>
        <w:tab w:val="clear" w:pos="8306"/>
      </w:tabs>
      <w:rPr>
        <w:szCs w:val="22"/>
      </w:rPr>
    </w:pPr>
    <w:r>
      <w:rPr>
        <w:szCs w:val="22"/>
        <w:lang w:val="ru"/>
      </w:rPr>
      <w:t xml:space="preserve">IOC-XXIV/2 </w:t>
    </w:r>
    <w:r>
      <w:rPr>
        <w:szCs w:val="22"/>
        <w:lang w:val="ru"/>
      </w:rPr>
      <w:t xml:space="preserve">Annex </w:t>
    </w:r>
    <w:r>
      <w:rPr>
        <w:szCs w:val="22"/>
        <w:highlight w:val="yellow"/>
        <w:lang w:val="ru"/>
      </w:rPr>
      <w:t>__</w:t>
    </w:r>
  </w:p>
  <w:p w14:paraId="1A34C086" w14:textId="77777777" w:rsidR="00020AA1" w:rsidRPr="00746B89" w:rsidRDefault="00020AA1" w:rsidP="00DF2FB9">
    <w:pPr>
      <w:pStyle w:val="Header"/>
      <w:tabs>
        <w:tab w:val="clear" w:pos="8306"/>
      </w:tabs>
      <w:rPr>
        <w:szCs w:val="22"/>
      </w:rPr>
    </w:pPr>
    <w:r>
      <w:rPr>
        <w:szCs w:val="22"/>
        <w:lang w:val="ru"/>
      </w:rPr>
      <w:t xml:space="preserve">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3</w:t>
    </w:r>
    <w:r>
      <w:rPr>
        <w:rStyle w:val="PageNumber"/>
        <w:szCs w:val="22"/>
        <w:lang w:val="ru"/>
      </w:rPr>
      <w:fldChar w:fldCharType="end"/>
    </w:r>
  </w:p>
  <w:p w14:paraId="74CA84EE"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330E" w14:textId="78D5C72A" w:rsidR="00B8392A" w:rsidRPr="007C710A" w:rsidRDefault="00B8392A" w:rsidP="00615636">
    <w:pPr>
      <w:pStyle w:val="Marge"/>
      <w:tabs>
        <w:tab w:val="left" w:pos="6096"/>
        <w:tab w:val="left" w:pos="7560"/>
      </w:tabs>
      <w:spacing w:after="0"/>
      <w:rPr>
        <w:rFonts w:cs="Arial"/>
        <w:b/>
        <w:szCs w:val="22"/>
      </w:rPr>
    </w:pPr>
    <w:r>
      <w:rPr>
        <w:rFonts w:cs="Arial"/>
        <w:szCs w:val="22"/>
        <w:lang w:val="ru"/>
      </w:rPr>
      <w:t xml:space="preserve">Рассылается </w:t>
    </w:r>
    <w:r>
      <w:rPr>
        <w:rFonts w:cs="Arial"/>
        <w:szCs w:val="22"/>
        <w:lang w:val="ru"/>
      </w:rPr>
      <w:t>по списку</w:t>
    </w:r>
    <w:r>
      <w:rPr>
        <w:rFonts w:cs="Arial"/>
        <w:szCs w:val="22"/>
        <w:lang w:val="ru"/>
      </w:rPr>
      <w:tab/>
    </w:r>
    <w:r>
      <w:rPr>
        <w:rFonts w:cs="Arial"/>
        <w:b/>
        <w:bCs/>
        <w:sz w:val="36"/>
        <w:szCs w:val="36"/>
        <w:lang w:val="ru"/>
      </w:rPr>
      <w:t>IOC/A-33/4.8.Doc(2)</w:t>
    </w:r>
  </w:p>
  <w:p w14:paraId="63AA8B88" w14:textId="7AE490AA" w:rsidR="00B8392A" w:rsidRPr="007C710A" w:rsidRDefault="00B8392A" w:rsidP="00615636">
    <w:pPr>
      <w:tabs>
        <w:tab w:val="clear" w:pos="567"/>
        <w:tab w:val="left" w:pos="6096"/>
        <w:tab w:val="left" w:pos="7560"/>
      </w:tabs>
      <w:jc w:val="both"/>
      <w:rPr>
        <w:rFonts w:cs="Arial"/>
        <w:szCs w:val="22"/>
      </w:rPr>
    </w:pPr>
    <w:r>
      <w:rPr>
        <w:noProof/>
        <w:lang w:val="ru"/>
      </w:rPr>
      <w:drawing>
        <wp:anchor distT="0" distB="0" distL="114300" distR="114300" simplePos="0" relativeHeight="251659264" behindDoc="0" locked="0" layoutInCell="1" allowOverlap="1" wp14:anchorId="7F4C8615" wp14:editId="35C0D5B5">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Логотип, название компании 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ru"/>
      </w:rPr>
      <w:tab/>
      <w:t>Париж, 30 апреля 2025 года</w:t>
    </w:r>
  </w:p>
  <w:p w14:paraId="20B7CC61" w14:textId="77777777" w:rsidR="00B8392A" w:rsidRPr="007C710A" w:rsidRDefault="00B8392A" w:rsidP="00615636">
    <w:pPr>
      <w:tabs>
        <w:tab w:val="clear" w:pos="567"/>
        <w:tab w:val="left" w:pos="6096"/>
        <w:tab w:val="left" w:pos="7560"/>
      </w:tabs>
      <w:jc w:val="both"/>
      <w:rPr>
        <w:rFonts w:cs="Arial"/>
        <w:szCs w:val="22"/>
      </w:rPr>
    </w:pPr>
    <w:r>
      <w:rPr>
        <w:rFonts w:cs="Arial"/>
        <w:szCs w:val="22"/>
        <w:lang w:val="ru"/>
      </w:rPr>
      <w:tab/>
      <w:t>Язык оригинала: английский</w:t>
    </w:r>
  </w:p>
  <w:p w14:paraId="46287543"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192764E2"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755E7E7"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5AE4C6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AB6E4B1"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5700DC6"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6CD5CF6"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Pr>
        <w:rFonts w:cs="Arial"/>
        <w:b/>
        <w:bCs/>
        <w:szCs w:val="22"/>
        <w:lang w:val="ru"/>
      </w:rPr>
      <w:t>МЕЖПРАВИТЕЛЬСТВЕННАЯ ОКЕАНОГРАФИЧЕСКАЯ КОМИССИЯ</w:t>
    </w:r>
  </w:p>
  <w:p w14:paraId="6F744944"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Pr>
        <w:rFonts w:cs="Arial"/>
        <w:szCs w:val="22"/>
        <w:lang w:val="ru"/>
      </w:rPr>
      <w:t>(ЮНЕСКО)</w:t>
    </w:r>
  </w:p>
  <w:p w14:paraId="5B2BB83A"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37477318"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Pr>
        <w:rFonts w:cs="Arial"/>
        <w:b/>
        <w:bCs/>
        <w:lang w:val="ru"/>
      </w:rPr>
      <w:t>Тридцать третья сессия Ассамблеи</w:t>
    </w:r>
  </w:p>
  <w:p w14:paraId="4B173A62"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Pr>
        <w:rFonts w:cs="Arial"/>
        <w:lang w:val="ru"/>
      </w:rPr>
      <w:t>ЮНЕСКО, 25 июня – 3 июля 2025 г.</w:t>
    </w:r>
  </w:p>
  <w:p w14:paraId="55279333"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6A46DDF2" w14:textId="77777777" w:rsidR="00B8392A" w:rsidRPr="00423BDE" w:rsidRDefault="00B8392A" w:rsidP="00B8392A">
    <w:pPr>
      <w:jc w:val="center"/>
      <w:rPr>
        <w:rFonts w:cs="Arial"/>
        <w:szCs w:val="22"/>
      </w:rPr>
    </w:pPr>
  </w:p>
  <w:p w14:paraId="3BBD85A0" w14:textId="77777777" w:rsidR="00B8392A" w:rsidRDefault="00B8392A" w:rsidP="00B8392A">
    <w:pPr>
      <w:jc w:val="center"/>
      <w:rPr>
        <w:rFonts w:cs="Arial"/>
        <w:szCs w:val="22"/>
      </w:rPr>
    </w:pPr>
  </w:p>
  <w:p w14:paraId="70BC1680" w14:textId="77777777" w:rsidR="00B8392A" w:rsidRDefault="00B8392A" w:rsidP="00B8392A">
    <w:pPr>
      <w:jc w:val="center"/>
      <w:rPr>
        <w:rFonts w:cs="Arial"/>
        <w:szCs w:val="22"/>
      </w:rPr>
    </w:pPr>
  </w:p>
  <w:p w14:paraId="7AB8225C" w14:textId="77777777" w:rsidR="00B8392A" w:rsidRDefault="00B8392A" w:rsidP="00B8392A">
    <w:pPr>
      <w:jc w:val="center"/>
      <w:rPr>
        <w:rFonts w:cs="Arial"/>
        <w:szCs w:val="22"/>
      </w:rPr>
    </w:pPr>
  </w:p>
  <w:p w14:paraId="050B18FD" w14:textId="77777777" w:rsidR="00B8392A" w:rsidRPr="005E544C" w:rsidRDefault="00B8392A" w:rsidP="00B8392A">
    <w:pPr>
      <w:jc w:val="center"/>
      <w:rPr>
        <w:rFonts w:cs="Arial"/>
        <w:szCs w:val="22"/>
      </w:rPr>
    </w:pPr>
  </w:p>
  <w:p w14:paraId="15CA553D" w14:textId="33B84D2A" w:rsidR="00B8392A" w:rsidRPr="00615636" w:rsidRDefault="00B8392A" w:rsidP="00B8392A">
    <w:pPr>
      <w:pStyle w:val="Heading7"/>
      <w:tabs>
        <w:tab w:val="clear" w:pos="567"/>
        <w:tab w:val="right" w:pos="9540"/>
      </w:tabs>
      <w:rPr>
        <w:rFonts w:asciiTheme="minorBidi" w:hAnsiTheme="minorBidi" w:cstheme="minorBidi"/>
        <w:szCs w:val="22"/>
      </w:rPr>
    </w:pPr>
    <w:r>
      <w:rPr>
        <w:rFonts w:asciiTheme="minorBidi" w:hAnsiTheme="minorBidi" w:cstheme="minorBidi"/>
        <w:sz w:val="24"/>
        <w:lang w:val="ru"/>
      </w:rPr>
      <w:t xml:space="preserve">Пункт </w:t>
    </w:r>
    <w:r>
      <w:rPr>
        <w:rFonts w:asciiTheme="minorBidi" w:hAnsiTheme="minorBidi" w:cstheme="minorBidi"/>
        <w:b/>
        <w:bCs/>
        <w:sz w:val="24"/>
        <w:lang w:val="ru"/>
      </w:rPr>
      <w:t>4.8</w:t>
    </w:r>
    <w:r>
      <w:rPr>
        <w:rFonts w:asciiTheme="minorBidi" w:hAnsiTheme="minorBidi" w:cstheme="minorBidi"/>
        <w:sz w:val="24"/>
        <w:lang w:val="ru"/>
      </w:rPr>
      <w:t xml:space="preserve"> предварительной повестки дня</w:t>
    </w:r>
  </w:p>
  <w:p w14:paraId="0E34C8E6" w14:textId="77777777" w:rsidR="00B8392A" w:rsidRPr="005E544C" w:rsidRDefault="00B8392A" w:rsidP="00B8392A">
    <w:pPr>
      <w:rPr>
        <w:rFonts w:cs="Arial"/>
        <w:szCs w:val="22"/>
      </w:rPr>
    </w:pPr>
  </w:p>
  <w:p w14:paraId="1A0BDAD3" w14:textId="77777777" w:rsidR="00B8392A" w:rsidRPr="005E544C" w:rsidRDefault="00B8392A" w:rsidP="00B8392A">
    <w:pPr>
      <w:rPr>
        <w:rFonts w:cs="Arial"/>
        <w:szCs w:val="22"/>
      </w:rPr>
    </w:pPr>
  </w:p>
  <w:p w14:paraId="53D69E21" w14:textId="7C43536C" w:rsidR="00B8392A" w:rsidRPr="009C15B1" w:rsidRDefault="00615636" w:rsidP="00B8392A">
    <w:pPr>
      <w:pStyle w:val="Docheading"/>
    </w:pPr>
    <w:r>
      <w:rPr>
        <w:lang w:val="ru"/>
      </w:rPr>
      <w:t xml:space="preserve">Резюме среднесрочной оценки Десятилетия ООН, посвященного науке об океане в интересах устойчивого развития, </w:t>
    </w:r>
    <w:r>
      <w:rPr>
        <w:b w:val="0"/>
        <w:bCs w:val="0"/>
        <w:lang w:val="ru"/>
      </w:rPr>
      <w:br/>
    </w:r>
    <w:r>
      <w:rPr>
        <w:lang w:val="ru"/>
      </w:rPr>
      <w:t>и ответ руководства на выводы оценки</w:t>
    </w:r>
  </w:p>
  <w:p w14:paraId="6B7D2AC8"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4E9A" w14:textId="1F7C29D9" w:rsidR="00020AA1" w:rsidRPr="00B8392A" w:rsidRDefault="00615636" w:rsidP="00294AD5">
    <w:pPr>
      <w:pStyle w:val="Header"/>
      <w:tabs>
        <w:tab w:val="clear" w:pos="8306"/>
      </w:tabs>
      <w:rPr>
        <w:rFonts w:cs="Arial"/>
        <w:sz w:val="20"/>
        <w:szCs w:val="20"/>
      </w:rPr>
    </w:pPr>
    <w:r>
      <w:rPr>
        <w:rFonts w:cs="Arial"/>
        <w:sz w:val="20"/>
        <w:szCs w:val="20"/>
        <w:lang w:val="ru"/>
      </w:rPr>
      <w:t>IOC/A-33/4.8.Doc(2)</w:t>
    </w:r>
  </w:p>
  <w:p w14:paraId="0A4361AF" w14:textId="77777777" w:rsidR="00020AA1" w:rsidRPr="00B8392A" w:rsidRDefault="00003B31" w:rsidP="00746B89">
    <w:pPr>
      <w:pStyle w:val="Header"/>
      <w:tabs>
        <w:tab w:val="clear" w:pos="8306"/>
      </w:tabs>
      <w:rP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2</w:t>
    </w:r>
    <w:r>
      <w:rPr>
        <w:rStyle w:val="PageNumber"/>
        <w:rFonts w:cs="Arial"/>
        <w:sz w:val="20"/>
        <w:szCs w:val="20"/>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F4CE" w14:textId="1F1E6EBF" w:rsidR="00020AA1" w:rsidRPr="00B8392A" w:rsidRDefault="00615636" w:rsidP="00615636">
    <w:pPr>
      <w:pStyle w:val="Header"/>
      <w:tabs>
        <w:tab w:val="clear" w:pos="8306"/>
      </w:tabs>
      <w:ind w:left="7513"/>
      <w:rPr>
        <w:rFonts w:cs="Arial"/>
        <w:szCs w:val="22"/>
      </w:rPr>
    </w:pPr>
    <w:r>
      <w:rPr>
        <w:rFonts w:cs="Arial"/>
        <w:sz w:val="20"/>
        <w:szCs w:val="20"/>
        <w:lang w:val="ru"/>
      </w:rPr>
      <w:t>IOC/A-33/4.8.Doc(2)</w:t>
    </w:r>
  </w:p>
  <w:p w14:paraId="619B6B36" w14:textId="77777777" w:rsidR="00020AA1" w:rsidRPr="0073624F" w:rsidRDefault="00003B31" w:rsidP="00615636">
    <w:pPr>
      <w:pStyle w:val="Header"/>
      <w:tabs>
        <w:tab w:val="clear" w:pos="8306"/>
      </w:tabs>
      <w:ind w:left="7513"/>
      <w:rPr>
        <w:rFonts w:cs="Arial"/>
        <w:sz w:val="20"/>
        <w:szCs w:val="20"/>
      </w:rPr>
    </w:pPr>
    <w:r w:rsidRPr="0073624F">
      <w:rPr>
        <w:rFonts w:cs="Arial"/>
        <w:sz w:val="20"/>
        <w:szCs w:val="20"/>
        <w:lang w:val="ru"/>
      </w:rPr>
      <w:t>страница </w:t>
    </w:r>
    <w:r w:rsidRPr="0073624F">
      <w:rPr>
        <w:rStyle w:val="PageNumber"/>
        <w:rFonts w:cs="Arial"/>
        <w:sz w:val="20"/>
        <w:szCs w:val="20"/>
        <w:lang w:val="ru"/>
      </w:rPr>
      <w:fldChar w:fldCharType="begin"/>
    </w:r>
    <w:r w:rsidRPr="0073624F">
      <w:rPr>
        <w:rStyle w:val="PageNumber"/>
        <w:rFonts w:cs="Arial"/>
        <w:sz w:val="20"/>
        <w:szCs w:val="20"/>
        <w:lang w:val="ru"/>
      </w:rPr>
      <w:instrText xml:space="preserve"> PAGE </w:instrText>
    </w:r>
    <w:r w:rsidRPr="0073624F">
      <w:rPr>
        <w:rStyle w:val="PageNumber"/>
        <w:rFonts w:cs="Arial"/>
        <w:sz w:val="20"/>
        <w:szCs w:val="20"/>
        <w:lang w:val="ru"/>
      </w:rPr>
      <w:fldChar w:fldCharType="separate"/>
    </w:r>
    <w:r w:rsidRPr="0073624F">
      <w:rPr>
        <w:rStyle w:val="PageNumber"/>
        <w:rFonts w:cs="Arial"/>
        <w:noProof/>
        <w:sz w:val="20"/>
        <w:szCs w:val="20"/>
        <w:lang w:val="ru"/>
      </w:rPr>
      <w:t>3</w:t>
    </w:r>
    <w:r w:rsidRPr="0073624F">
      <w:rPr>
        <w:rStyle w:val="PageNumber"/>
        <w:rFonts w:cs="Arial"/>
        <w:sz w:val="20"/>
        <w:szCs w:val="20"/>
        <w:lang w:val="ru"/>
      </w:rPr>
      <w:fldChar w:fldCharType="end"/>
    </w:r>
  </w:p>
  <w:p w14:paraId="226CD182" w14:textId="77777777" w:rsidR="00020AA1" w:rsidRPr="0073624F" w:rsidRDefault="00020AA1" w:rsidP="00615636">
    <w:pPr>
      <w:pStyle w:val="Header"/>
      <w:ind w:left="7513"/>
      <w:rPr>
        <w:rFonts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436" w14:textId="03A0EC3C" w:rsidR="00020AA1" w:rsidRPr="00B8392A" w:rsidRDefault="00020AA1" w:rsidP="00294AD5">
    <w:pPr>
      <w:pStyle w:val="Header"/>
      <w:jc w:val="right"/>
      <w:rPr>
        <w:rFonts w:cs="Arial"/>
        <w:sz w:val="20"/>
        <w:szCs w:val="20"/>
      </w:rPr>
    </w:pPr>
    <w:r>
      <w:rPr>
        <w:rFonts w:cs="Arial"/>
        <w:sz w:val="20"/>
        <w:szCs w:val="20"/>
        <w:lang w:val="ru"/>
      </w:rPr>
      <w:t>IOC/A-33/4.8..Doc(2)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11E8" w14:textId="77777777" w:rsidR="00AE1CE1" w:rsidRPr="00B8392A" w:rsidRDefault="00AE1CE1" w:rsidP="00AE1CE1">
    <w:pPr>
      <w:pStyle w:val="Header"/>
      <w:tabs>
        <w:tab w:val="clear" w:pos="8306"/>
      </w:tabs>
      <w:ind w:left="7513"/>
      <w:rPr>
        <w:rFonts w:cs="Arial"/>
        <w:sz w:val="20"/>
        <w:szCs w:val="20"/>
      </w:rPr>
    </w:pPr>
    <w:r>
      <w:rPr>
        <w:rFonts w:cs="Arial"/>
        <w:sz w:val="20"/>
        <w:szCs w:val="20"/>
        <w:lang w:val="ru"/>
      </w:rPr>
      <w:t>IOC/A-33/4.8.Doc(2)</w:t>
    </w:r>
  </w:p>
  <w:p w14:paraId="21BEEB57" w14:textId="77777777" w:rsidR="00AE1CE1" w:rsidRPr="00B8392A" w:rsidRDefault="00AE1CE1" w:rsidP="00AE1CE1">
    <w:pPr>
      <w:pStyle w:val="Header"/>
      <w:tabs>
        <w:tab w:val="clear" w:pos="8306"/>
      </w:tabs>
      <w:ind w:left="7513"/>
      <w:rP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sz w:val="20"/>
        <w:szCs w:val="20"/>
        <w:lang w:val="ru"/>
      </w:rPr>
      <w:t>8</w:t>
    </w:r>
    <w:r>
      <w:rPr>
        <w:rStyle w:val="PageNumber"/>
        <w:rFonts w:cs="Arial"/>
        <w:sz w:val="20"/>
        <w:szCs w:val="20"/>
        <w:lang w:val="ru"/>
      </w:rPr>
      <w:fldChar w:fldCharType="end"/>
    </w:r>
  </w:p>
  <w:p w14:paraId="07737B5E" w14:textId="10D59C6F" w:rsidR="00AE1CE1" w:rsidRPr="00AE1CE1" w:rsidRDefault="00AE1CE1" w:rsidP="00AE1CE1">
    <w:pPr>
      <w:pStyle w:val="Header"/>
      <w:ind w:left="75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ECA69E7"/>
    <w:multiLevelType w:val="hybridMultilevel"/>
    <w:tmpl w:val="FF3E8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033E3"/>
    <w:multiLevelType w:val="hybridMultilevel"/>
    <w:tmpl w:val="CB6ECCEA"/>
    <w:lvl w:ilvl="0" w:tplc="0809001B">
      <w:start w:val="1"/>
      <w:numFmt w:val="lowerRoman"/>
      <w:lvlText w:val="%1."/>
      <w:lvlJc w:val="righ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CE3AD8"/>
    <w:multiLevelType w:val="hybridMultilevel"/>
    <w:tmpl w:val="781C3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07F0CE"/>
    <w:multiLevelType w:val="hybridMultilevel"/>
    <w:tmpl w:val="FFFFFFFF"/>
    <w:lvl w:ilvl="0" w:tplc="CCB4D00A">
      <w:start w:val="1"/>
      <w:numFmt w:val="decimal"/>
      <w:lvlText w:val="%1."/>
      <w:lvlJc w:val="left"/>
      <w:pPr>
        <w:ind w:left="720" w:hanging="360"/>
      </w:pPr>
    </w:lvl>
    <w:lvl w:ilvl="1" w:tplc="9FB2DD94">
      <w:start w:val="1"/>
      <w:numFmt w:val="lowerLetter"/>
      <w:lvlText w:val="%2."/>
      <w:lvlJc w:val="left"/>
      <w:pPr>
        <w:ind w:left="1440" w:hanging="360"/>
      </w:pPr>
    </w:lvl>
    <w:lvl w:ilvl="2" w:tplc="FB34A062">
      <w:start w:val="1"/>
      <w:numFmt w:val="lowerRoman"/>
      <w:lvlText w:val="%3."/>
      <w:lvlJc w:val="right"/>
      <w:pPr>
        <w:ind w:left="2160" w:hanging="180"/>
      </w:pPr>
    </w:lvl>
    <w:lvl w:ilvl="3" w:tplc="418628E6">
      <w:start w:val="1"/>
      <w:numFmt w:val="decimal"/>
      <w:lvlText w:val="%4."/>
      <w:lvlJc w:val="left"/>
      <w:pPr>
        <w:ind w:left="2880" w:hanging="360"/>
      </w:pPr>
    </w:lvl>
    <w:lvl w:ilvl="4" w:tplc="5852A116">
      <w:start w:val="1"/>
      <w:numFmt w:val="lowerLetter"/>
      <w:lvlText w:val="%5."/>
      <w:lvlJc w:val="left"/>
      <w:pPr>
        <w:ind w:left="3600" w:hanging="360"/>
      </w:pPr>
    </w:lvl>
    <w:lvl w:ilvl="5" w:tplc="6DF0F218">
      <w:start w:val="1"/>
      <w:numFmt w:val="lowerRoman"/>
      <w:lvlText w:val="%6."/>
      <w:lvlJc w:val="right"/>
      <w:pPr>
        <w:ind w:left="4320" w:hanging="180"/>
      </w:pPr>
    </w:lvl>
    <w:lvl w:ilvl="6" w:tplc="0226D642">
      <w:start w:val="1"/>
      <w:numFmt w:val="decimal"/>
      <w:lvlText w:val="%7."/>
      <w:lvlJc w:val="left"/>
      <w:pPr>
        <w:ind w:left="5040" w:hanging="360"/>
      </w:pPr>
    </w:lvl>
    <w:lvl w:ilvl="7" w:tplc="5DD2ADD4">
      <w:start w:val="1"/>
      <w:numFmt w:val="lowerLetter"/>
      <w:lvlText w:val="%8."/>
      <w:lvlJc w:val="left"/>
      <w:pPr>
        <w:ind w:left="5760" w:hanging="360"/>
      </w:pPr>
    </w:lvl>
    <w:lvl w:ilvl="8" w:tplc="0D3CF3FE">
      <w:start w:val="1"/>
      <w:numFmt w:val="lowerRoman"/>
      <w:lvlText w:val="%9."/>
      <w:lvlJc w:val="right"/>
      <w:pPr>
        <w:ind w:left="6480" w:hanging="180"/>
      </w:pPr>
    </w:lvl>
  </w:abstractNum>
  <w:num w:numId="1" w16cid:durableId="167523353">
    <w:abstractNumId w:val="5"/>
  </w:num>
  <w:num w:numId="2" w16cid:durableId="1126850961">
    <w:abstractNumId w:val="6"/>
  </w:num>
  <w:num w:numId="3" w16cid:durableId="676813241">
    <w:abstractNumId w:val="0"/>
  </w:num>
  <w:num w:numId="4" w16cid:durableId="652441993">
    <w:abstractNumId w:val="1"/>
  </w:num>
  <w:num w:numId="5" w16cid:durableId="1859392821">
    <w:abstractNumId w:val="2"/>
  </w:num>
  <w:num w:numId="6" w16cid:durableId="210460474">
    <w:abstractNumId w:val="6"/>
  </w:num>
  <w:num w:numId="7" w16cid:durableId="1551647552">
    <w:abstractNumId w:val="6"/>
  </w:num>
  <w:num w:numId="8" w16cid:durableId="1301377981">
    <w:abstractNumId w:val="6"/>
  </w:num>
  <w:num w:numId="9" w16cid:durableId="1625382095">
    <w:abstractNumId w:val="6"/>
  </w:num>
  <w:num w:numId="10" w16cid:durableId="1668553631">
    <w:abstractNumId w:val="8"/>
  </w:num>
  <w:num w:numId="11" w16cid:durableId="1412459804">
    <w:abstractNumId w:val="4"/>
  </w:num>
  <w:num w:numId="12" w16cid:durableId="1592396597">
    <w:abstractNumId w:val="3"/>
  </w:num>
  <w:num w:numId="13" w16cid:durableId="1741364006">
    <w:abstractNumId w:val="6"/>
  </w:num>
  <w:num w:numId="14" w16cid:durableId="1043019794">
    <w:abstractNumId w:val="6"/>
  </w:num>
  <w:num w:numId="15" w16cid:durableId="494881755">
    <w:abstractNumId w:val="6"/>
  </w:num>
  <w:num w:numId="16" w16cid:durableId="1386568999">
    <w:abstractNumId w:val="6"/>
  </w:num>
  <w:num w:numId="17" w16cid:durableId="303389538">
    <w:abstractNumId w:val="6"/>
  </w:num>
  <w:num w:numId="18" w16cid:durableId="2073038293">
    <w:abstractNumId w:val="6"/>
  </w:num>
  <w:num w:numId="19" w16cid:durableId="1923366659">
    <w:abstractNumId w:val="6"/>
  </w:num>
  <w:num w:numId="20" w16cid:durableId="831330348">
    <w:abstractNumId w:val="6"/>
  </w:num>
  <w:num w:numId="21" w16cid:durableId="275601766">
    <w:abstractNumId w:val="6"/>
  </w:num>
  <w:num w:numId="22" w16cid:durableId="380861577">
    <w:abstractNumId w:val="6"/>
  </w:num>
  <w:num w:numId="23" w16cid:durableId="8797454">
    <w:abstractNumId w:val="6"/>
  </w:num>
  <w:num w:numId="24" w16cid:durableId="628979792">
    <w:abstractNumId w:val="6"/>
  </w:num>
  <w:num w:numId="25" w16cid:durableId="362901097">
    <w:abstractNumId w:val="6"/>
  </w:num>
  <w:num w:numId="26" w16cid:durableId="866872496">
    <w:abstractNumId w:val="6"/>
  </w:num>
  <w:num w:numId="27" w16cid:durableId="666637243">
    <w:abstractNumId w:val="6"/>
  </w:num>
  <w:num w:numId="28" w16cid:durableId="470445900">
    <w:abstractNumId w:val="6"/>
  </w:num>
  <w:num w:numId="29" w16cid:durableId="626741531">
    <w:abstractNumId w:val="7"/>
  </w:num>
  <w:num w:numId="30" w16cid:durableId="1100948448">
    <w:abstractNumId w:val="6"/>
  </w:num>
  <w:num w:numId="31" w16cid:durableId="118085319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36"/>
    <w:rsid w:val="00003B31"/>
    <w:rsid w:val="00010BBB"/>
    <w:rsid w:val="00020AA1"/>
    <w:rsid w:val="00056F67"/>
    <w:rsid w:val="00085D6A"/>
    <w:rsid w:val="000D6CCD"/>
    <w:rsid w:val="000F0254"/>
    <w:rsid w:val="00123719"/>
    <w:rsid w:val="001241D7"/>
    <w:rsid w:val="00137E97"/>
    <w:rsid w:val="001448C4"/>
    <w:rsid w:val="00155393"/>
    <w:rsid w:val="001572C7"/>
    <w:rsid w:val="00167158"/>
    <w:rsid w:val="00196052"/>
    <w:rsid w:val="001B3B24"/>
    <w:rsid w:val="001C6455"/>
    <w:rsid w:val="00204E9E"/>
    <w:rsid w:val="0021210D"/>
    <w:rsid w:val="00294AD5"/>
    <w:rsid w:val="002C7DE3"/>
    <w:rsid w:val="002E0859"/>
    <w:rsid w:val="0034156B"/>
    <w:rsid w:val="003561BE"/>
    <w:rsid w:val="003805F5"/>
    <w:rsid w:val="003A7860"/>
    <w:rsid w:val="003D3711"/>
    <w:rsid w:val="003F55CF"/>
    <w:rsid w:val="003F7186"/>
    <w:rsid w:val="00402D50"/>
    <w:rsid w:val="004031FB"/>
    <w:rsid w:val="004101F3"/>
    <w:rsid w:val="00413F17"/>
    <w:rsid w:val="00424DE6"/>
    <w:rsid w:val="004471BE"/>
    <w:rsid w:val="00450D22"/>
    <w:rsid w:val="004529B8"/>
    <w:rsid w:val="00467E3F"/>
    <w:rsid w:val="004A135F"/>
    <w:rsid w:val="004C1625"/>
    <w:rsid w:val="004D04AD"/>
    <w:rsid w:val="004D4D3D"/>
    <w:rsid w:val="004F7D6C"/>
    <w:rsid w:val="00576270"/>
    <w:rsid w:val="005C7A36"/>
    <w:rsid w:val="005C7D76"/>
    <w:rsid w:val="005E544C"/>
    <w:rsid w:val="006110DA"/>
    <w:rsid w:val="00615636"/>
    <w:rsid w:val="00633EA5"/>
    <w:rsid w:val="006842FA"/>
    <w:rsid w:val="0068682C"/>
    <w:rsid w:val="00690A0C"/>
    <w:rsid w:val="00690FD2"/>
    <w:rsid w:val="00693199"/>
    <w:rsid w:val="006B4B95"/>
    <w:rsid w:val="006C18D9"/>
    <w:rsid w:val="006C6449"/>
    <w:rsid w:val="00714240"/>
    <w:rsid w:val="00730292"/>
    <w:rsid w:val="0073624F"/>
    <w:rsid w:val="00737A18"/>
    <w:rsid w:val="00746B89"/>
    <w:rsid w:val="00773786"/>
    <w:rsid w:val="0079212B"/>
    <w:rsid w:val="007D115F"/>
    <w:rsid w:val="008048D2"/>
    <w:rsid w:val="0081004E"/>
    <w:rsid w:val="00853565"/>
    <w:rsid w:val="00890A26"/>
    <w:rsid w:val="008A6E5C"/>
    <w:rsid w:val="008B384B"/>
    <w:rsid w:val="008D2398"/>
    <w:rsid w:val="008F6942"/>
    <w:rsid w:val="009026D3"/>
    <w:rsid w:val="00920984"/>
    <w:rsid w:val="00967DC8"/>
    <w:rsid w:val="00993CA4"/>
    <w:rsid w:val="009B63AB"/>
    <w:rsid w:val="009C0A89"/>
    <w:rsid w:val="009C15B1"/>
    <w:rsid w:val="009D3D27"/>
    <w:rsid w:val="009E6A03"/>
    <w:rsid w:val="009F3A67"/>
    <w:rsid w:val="009F7769"/>
    <w:rsid w:val="00A11697"/>
    <w:rsid w:val="00A25BC8"/>
    <w:rsid w:val="00AD3D55"/>
    <w:rsid w:val="00AE1CE1"/>
    <w:rsid w:val="00B722DE"/>
    <w:rsid w:val="00B83068"/>
    <w:rsid w:val="00B8392A"/>
    <w:rsid w:val="00BD6603"/>
    <w:rsid w:val="00BF069C"/>
    <w:rsid w:val="00BF3835"/>
    <w:rsid w:val="00C1002D"/>
    <w:rsid w:val="00C21429"/>
    <w:rsid w:val="00C2635E"/>
    <w:rsid w:val="00C3684D"/>
    <w:rsid w:val="00C4032B"/>
    <w:rsid w:val="00C6486C"/>
    <w:rsid w:val="00C648D3"/>
    <w:rsid w:val="00C75B02"/>
    <w:rsid w:val="00C962F0"/>
    <w:rsid w:val="00D013ED"/>
    <w:rsid w:val="00D36BDC"/>
    <w:rsid w:val="00D5049E"/>
    <w:rsid w:val="00D55FEC"/>
    <w:rsid w:val="00DF2FB9"/>
    <w:rsid w:val="00E2653F"/>
    <w:rsid w:val="00E408C7"/>
    <w:rsid w:val="00E63DEF"/>
    <w:rsid w:val="00E64936"/>
    <w:rsid w:val="00EB3566"/>
    <w:rsid w:val="00EE0542"/>
    <w:rsid w:val="00EF7821"/>
    <w:rsid w:val="00F027E7"/>
    <w:rsid w:val="00F463F2"/>
    <w:rsid w:val="00F767F3"/>
    <w:rsid w:val="00F8186D"/>
    <w:rsid w:val="00F85CA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A7761"/>
  <w15:docId w15:val="{B92F2C6A-71E1-42AF-B137-F8487C59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Footnote Reference Superscript,ESPON Footnote No,Footnote symbol,ftref,Footnote number,Footnote Reference Number,Footnote reference number,Times 10 Point,Exposant 3 Point,note TESI,SUPERS,EN Footnote Reference,Ref"/>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615636"/>
    <w:rPr>
      <w:color w:val="605E5C"/>
      <w:shd w:val="clear" w:color="auto" w:fill="E1DFDD"/>
    </w:rPr>
  </w:style>
  <w:style w:type="paragraph" w:styleId="Quote">
    <w:name w:val="Quote"/>
    <w:basedOn w:val="Normal"/>
    <w:next w:val="Normal"/>
    <w:link w:val="QuoteChar"/>
    <w:uiPriority w:val="29"/>
    <w:qFormat/>
    <w:rsid w:val="00890A26"/>
    <w:pPr>
      <w:tabs>
        <w:tab w:val="clear" w:pos="567"/>
      </w:tabs>
      <w:snapToGrid/>
      <w:spacing w:before="160" w:after="160" w:line="259" w:lineRule="auto"/>
      <w:jc w:val="center"/>
    </w:pPr>
    <w:rPr>
      <w:rFonts w:asciiTheme="minorHAnsi" w:eastAsiaTheme="minorEastAsia" w:hAnsiTheme="minorHAnsi" w:cstheme="minorBidi"/>
      <w:i/>
      <w:iCs/>
      <w:snapToGrid/>
      <w:color w:val="404040" w:themeColor="text1" w:themeTint="BF"/>
      <w:kern w:val="2"/>
      <w:szCs w:val="22"/>
      <w:lang w:val="fr-FR" w:eastAsia="zh-CN"/>
      <w14:ligatures w14:val="standardContextual"/>
    </w:rPr>
  </w:style>
  <w:style w:type="character" w:customStyle="1" w:styleId="QuoteChar">
    <w:name w:val="Quote Char"/>
    <w:basedOn w:val="DefaultParagraphFont"/>
    <w:link w:val="Quote"/>
    <w:uiPriority w:val="29"/>
    <w:rsid w:val="00890A26"/>
    <w:rPr>
      <w:rFonts w:asciiTheme="minorHAnsi" w:eastAsiaTheme="minorEastAsia" w:hAnsiTheme="minorHAnsi" w:cstheme="minorBidi"/>
      <w:i/>
      <w:iCs/>
      <w:color w:val="404040" w:themeColor="text1" w:themeTint="BF"/>
      <w:kern w:val="2"/>
      <w:sz w:val="22"/>
      <w:szCs w:val="22"/>
      <w:lang w:eastAsia="zh-CN"/>
      <w14:ligatures w14:val="standardContextual"/>
    </w:rPr>
  </w:style>
  <w:style w:type="paragraph" w:styleId="ListParagraph">
    <w:name w:val="List Paragraph"/>
    <w:aliases w:val="Citation List,본문(내용),List Paragraph (numbered (a)),Colorful List - Accent 11,içindekiler vb,References,Numbered List Paragraph,Numbered Paragraph,Main numbered paragraph,List_Paragraph,Multilevel para_II,List Paragraph1"/>
    <w:basedOn w:val="Normal"/>
    <w:link w:val="ListParagraphChar"/>
    <w:uiPriority w:val="34"/>
    <w:qFormat/>
    <w:rsid w:val="00890A26"/>
    <w:pPr>
      <w:tabs>
        <w:tab w:val="clear" w:pos="567"/>
      </w:tabs>
      <w:snapToGrid/>
      <w:spacing w:after="160" w:line="259" w:lineRule="auto"/>
      <w:ind w:left="720"/>
      <w:contextualSpacing/>
    </w:pPr>
    <w:rPr>
      <w:rFonts w:asciiTheme="minorHAnsi" w:eastAsiaTheme="minorEastAsia" w:hAnsiTheme="minorHAnsi" w:cstheme="minorBidi"/>
      <w:snapToGrid/>
      <w:kern w:val="2"/>
      <w:szCs w:val="22"/>
      <w:lang w:val="fr-FR" w:eastAsia="zh-CN"/>
      <w14:ligatures w14:val="standardContextual"/>
    </w:rPr>
  </w:style>
  <w:style w:type="character" w:customStyle="1" w:styleId="FootnoteTextChar">
    <w:name w:val="Footnote Text Char"/>
    <w:basedOn w:val="DefaultParagraphFont"/>
    <w:link w:val="FootnoteText"/>
    <w:uiPriority w:val="99"/>
    <w:semiHidden/>
    <w:rsid w:val="00890A26"/>
    <w:rPr>
      <w:rFonts w:ascii="Arial" w:hAnsi="Arial"/>
      <w:snapToGrid w:val="0"/>
      <w:lang w:val="en-GB" w:eastAsia="en-US"/>
    </w:rPr>
  </w:style>
  <w:style w:type="character" w:customStyle="1" w:styleId="ListParagraphChar">
    <w:name w:val="List Paragraph Char"/>
    <w:aliases w:val="Citation List Char,본문(내용) Char,List Paragraph (numbered (a)) Char,Colorful List - Accent 11 Char,içindekiler vb Char,References Char,Numbered List Paragraph Char,Numbered Paragraph Char,Main numbered paragraph Char"/>
    <w:basedOn w:val="DefaultParagraphFont"/>
    <w:link w:val="ListParagraph"/>
    <w:uiPriority w:val="34"/>
    <w:qFormat/>
    <w:rsid w:val="00890A26"/>
    <w:rPr>
      <w:rFonts w:asciiTheme="minorHAnsi" w:eastAsiaTheme="minorEastAsia" w:hAnsiTheme="minorHAnsi" w:cstheme="minorBidi"/>
      <w:kern w:val="2"/>
      <w:sz w:val="22"/>
      <w:szCs w:val="22"/>
      <w:lang w:eastAsia="zh-CN"/>
      <w14:ligatures w14:val="standardContextual"/>
    </w:rPr>
  </w:style>
  <w:style w:type="table" w:customStyle="1" w:styleId="TableGrid1">
    <w:name w:val="Table Grid1"/>
    <w:basedOn w:val="TableNormal"/>
    <w:next w:val="TableGrid"/>
    <w:uiPriority w:val="39"/>
    <w:rsid w:val="00F027E7"/>
    <w:rPr>
      <w:rFonts w:ascii="Calibri" w:eastAsia="DengXian" w:hAnsi="Calibri" w:cs="Arial"/>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82579">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0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decade.org/publications/ambition-action-impact-the-ocean-decade-pathway-to-2030-consolidated-outcomes-of-the-vision-2030-process/" TargetMode="Externa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33\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 Working Doc template2025.dotx</Template>
  <TotalTime>3</TotalTime>
  <Pages>20</Pages>
  <Words>7262</Words>
  <Characters>52080</Characters>
  <Application>Microsoft Office Word</Application>
  <DocSecurity>4</DocSecurity>
  <Lines>434</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59224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2002-06-12T09:28:00Z</cp:lastPrinted>
  <dcterms:created xsi:type="dcterms:W3CDTF">2025-05-07T14:47:00Z</dcterms:created>
  <dcterms:modified xsi:type="dcterms:W3CDTF">2025-05-07T14:47:00Z</dcterms:modified>
</cp:coreProperties>
</file>