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CD43C" w14:textId="77777777" w:rsidR="001636E8" w:rsidRPr="00E31511" w:rsidRDefault="001636E8" w:rsidP="001636E8">
      <w:pPr>
        <w:tabs>
          <w:tab w:val="clear" w:pos="567"/>
          <w:tab w:val="left" w:pos="-1440"/>
        </w:tabs>
        <w:spacing w:before="480"/>
        <w:ind w:right="-22"/>
        <w:jc w:val="center"/>
        <w:rPr>
          <w:rFonts w:cs="Arial"/>
          <w:b/>
          <w:szCs w:val="22"/>
        </w:rPr>
      </w:pPr>
      <w:r w:rsidRPr="00E31511">
        <w:rPr>
          <w:rFonts w:cs="Arial"/>
          <w:b/>
          <w:szCs w:val="22"/>
        </w:rPr>
        <w:t>COMMISSION OCÉANOGRAPHIQUE INTERGOUVERNEMENTALE</w:t>
      </w:r>
    </w:p>
    <w:p w14:paraId="3866C289" w14:textId="77777777" w:rsidR="001636E8" w:rsidRPr="00FC4C71" w:rsidRDefault="001636E8" w:rsidP="001636E8">
      <w:pPr>
        <w:tabs>
          <w:tab w:val="left" w:pos="-1440"/>
          <w:tab w:val="left" w:pos="-720"/>
          <w:tab w:val="left" w:pos="720"/>
          <w:tab w:val="left" w:pos="2160"/>
          <w:tab w:val="left" w:pos="3600"/>
          <w:tab w:val="left" w:pos="4320"/>
          <w:tab w:val="left" w:pos="5040"/>
          <w:tab w:val="left" w:pos="5523"/>
          <w:tab w:val="left" w:pos="6480"/>
        </w:tabs>
        <w:spacing w:after="240"/>
        <w:jc w:val="center"/>
        <w:rPr>
          <w:rFonts w:cs="Arial"/>
          <w:bCs/>
          <w:szCs w:val="22"/>
        </w:rPr>
      </w:pPr>
      <w:r w:rsidRPr="00FC4C71">
        <w:rPr>
          <w:rFonts w:cs="Arial"/>
          <w:bCs/>
          <w:szCs w:val="22"/>
        </w:rPr>
        <w:t>(de l’UNESCO)</w:t>
      </w:r>
    </w:p>
    <w:p w14:paraId="5941D936" w14:textId="66153BA9" w:rsidR="001636E8" w:rsidRPr="00FC4C71" w:rsidRDefault="001636E8" w:rsidP="001636E8">
      <w:pPr>
        <w:tabs>
          <w:tab w:val="clear" w:pos="567"/>
          <w:tab w:val="left" w:pos="-1440"/>
          <w:tab w:val="left" w:pos="-720"/>
          <w:tab w:val="left" w:pos="3600"/>
          <w:tab w:val="left" w:pos="4320"/>
          <w:tab w:val="left" w:pos="5040"/>
          <w:tab w:val="left" w:pos="5523"/>
          <w:tab w:val="left" w:pos="6480"/>
        </w:tabs>
        <w:jc w:val="center"/>
        <w:rPr>
          <w:rFonts w:cs="Arial"/>
          <w:b/>
          <w:szCs w:val="22"/>
        </w:rPr>
      </w:pPr>
      <w:r>
        <w:rPr>
          <w:rFonts w:cs="Arial"/>
          <w:b/>
          <w:szCs w:val="22"/>
        </w:rPr>
        <w:t>Trente</w:t>
      </w:r>
      <w:r w:rsidRPr="00FC4C71">
        <w:rPr>
          <w:rFonts w:cs="Arial"/>
          <w:b/>
          <w:szCs w:val="22"/>
        </w:rPr>
        <w:t>-</w:t>
      </w:r>
      <w:r w:rsidR="00356366">
        <w:rPr>
          <w:rFonts w:cs="Arial"/>
          <w:b/>
          <w:szCs w:val="22"/>
        </w:rPr>
        <w:t>trois</w:t>
      </w:r>
      <w:r>
        <w:rPr>
          <w:rFonts w:cs="Arial"/>
          <w:b/>
          <w:szCs w:val="22"/>
        </w:rPr>
        <w:t>i</w:t>
      </w:r>
      <w:r w:rsidRPr="00FC4C71">
        <w:rPr>
          <w:rFonts w:cs="Arial"/>
          <w:b/>
          <w:szCs w:val="22"/>
        </w:rPr>
        <w:t>ème session d</w:t>
      </w:r>
      <w:r>
        <w:rPr>
          <w:rFonts w:cs="Arial"/>
          <w:b/>
          <w:szCs w:val="22"/>
        </w:rPr>
        <w:t>e l’Assemblée</w:t>
      </w:r>
    </w:p>
    <w:p w14:paraId="4E36DC7C" w14:textId="12EBECC9" w:rsidR="001636E8" w:rsidRPr="00FC4C71" w:rsidRDefault="001636E8" w:rsidP="001636E8">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600"/>
        <w:jc w:val="center"/>
        <w:rPr>
          <w:rFonts w:cs="Arial"/>
          <w:szCs w:val="22"/>
        </w:rPr>
      </w:pPr>
      <w:r w:rsidRPr="00FC4C71">
        <w:rPr>
          <w:rFonts w:cs="Arial"/>
          <w:szCs w:val="22"/>
        </w:rPr>
        <w:t xml:space="preserve">UNESCO, Paris, </w:t>
      </w:r>
      <w:r w:rsidR="00356366">
        <w:rPr>
          <w:rFonts w:cs="Arial"/>
          <w:szCs w:val="22"/>
        </w:rPr>
        <w:t>25</w:t>
      </w:r>
      <w:r>
        <w:rPr>
          <w:rFonts w:cs="Arial"/>
          <w:szCs w:val="22"/>
        </w:rPr>
        <w:t> </w:t>
      </w:r>
      <w:r w:rsidRPr="00FC4C71">
        <w:rPr>
          <w:rFonts w:cs="Arial"/>
          <w:szCs w:val="22"/>
        </w:rPr>
        <w:t>juin</w:t>
      </w:r>
      <w:r w:rsidR="00356366">
        <w:rPr>
          <w:rFonts w:cs="Arial"/>
          <w:szCs w:val="22"/>
        </w:rPr>
        <w:t>-3 juillet</w:t>
      </w:r>
      <w:r w:rsidRPr="00FC4C71">
        <w:rPr>
          <w:rFonts w:cs="Arial"/>
          <w:szCs w:val="22"/>
        </w:rPr>
        <w:t xml:space="preserve"> 202</w:t>
      </w:r>
      <w:r w:rsidR="00356366">
        <w:rPr>
          <w:rFonts w:cs="Arial"/>
          <w:szCs w:val="22"/>
        </w:rPr>
        <w:t>5</w:t>
      </w:r>
    </w:p>
    <w:p w14:paraId="29B56228" w14:textId="088E5665" w:rsidR="001636E8" w:rsidRPr="00FC4C71" w:rsidRDefault="001636E8" w:rsidP="00BD0D00">
      <w:pPr>
        <w:tabs>
          <w:tab w:val="clear" w:pos="567"/>
          <w:tab w:val="left" w:pos="-1440"/>
          <w:tab w:val="left" w:pos="-720"/>
          <w:tab w:val="left" w:pos="2160"/>
          <w:tab w:val="left" w:pos="2880"/>
          <w:tab w:val="left" w:pos="3600"/>
          <w:tab w:val="left" w:pos="4320"/>
          <w:tab w:val="left" w:pos="5040"/>
          <w:tab w:val="left" w:pos="5523"/>
          <w:tab w:val="left" w:pos="6480"/>
        </w:tabs>
        <w:spacing w:after="480"/>
        <w:jc w:val="both"/>
        <w:rPr>
          <w:rFonts w:cs="Arial"/>
          <w:szCs w:val="22"/>
          <w:u w:val="single"/>
        </w:rPr>
      </w:pPr>
      <w:r w:rsidRPr="00FC4C71">
        <w:rPr>
          <w:rFonts w:cs="Arial"/>
          <w:szCs w:val="22"/>
          <w:u w:val="single"/>
        </w:rPr>
        <w:t>Point</w:t>
      </w:r>
      <w:r>
        <w:rPr>
          <w:rFonts w:cs="Arial"/>
          <w:szCs w:val="22"/>
          <w:u w:val="single"/>
        </w:rPr>
        <w:t>s</w:t>
      </w:r>
      <w:r w:rsidRPr="00FC4C71">
        <w:rPr>
          <w:rFonts w:cs="Arial"/>
          <w:szCs w:val="22"/>
          <w:u w:val="single"/>
        </w:rPr>
        <w:t xml:space="preserve"> </w:t>
      </w:r>
      <w:r w:rsidR="005711E1">
        <w:rPr>
          <w:rFonts w:cs="Arial"/>
          <w:b/>
          <w:bCs/>
          <w:szCs w:val="22"/>
          <w:u w:val="single"/>
        </w:rPr>
        <w:t>4.8</w:t>
      </w:r>
      <w:r w:rsidRPr="00FC4C71">
        <w:rPr>
          <w:rFonts w:cs="Arial"/>
          <w:szCs w:val="22"/>
          <w:u w:val="single"/>
        </w:rPr>
        <w:t xml:space="preserve"> de l’ordre du jour provisoire</w:t>
      </w:r>
    </w:p>
    <w:p w14:paraId="3C4D94B6" w14:textId="456FE90F" w:rsidR="00BF2E0D" w:rsidRPr="00BF2E0D" w:rsidRDefault="005711E1" w:rsidP="005711E1">
      <w:pPr>
        <w:pStyle w:val="Marge"/>
        <w:spacing w:after="360"/>
        <w:jc w:val="center"/>
        <w:rPr>
          <w:b/>
        </w:rPr>
      </w:pPr>
      <w:r w:rsidRPr="005711E1">
        <w:rPr>
          <w:b/>
          <w:bCs/>
          <w:kern w:val="28"/>
        </w:rPr>
        <w:t>PROJET DE MANDAT RÉVISÉ DU COMITÉ CONSULTATIF DE LA DÉCENNIE</w:t>
      </w:r>
      <w:r w:rsidR="00BF2E0D">
        <w:rPr>
          <w:b/>
        </w:rPr>
        <w:t xml:space="preserve"> </w:t>
      </w:r>
    </w:p>
    <w:tbl>
      <w:tblPr>
        <w:tblStyle w:val="Grilledutableau"/>
        <w:tblW w:w="7650" w:type="dxa"/>
        <w:jc w:val="center"/>
        <w:tblLayout w:type="fixed"/>
        <w:tblLook w:val="04A0" w:firstRow="1" w:lastRow="0" w:firstColumn="1" w:lastColumn="0" w:noHBand="0" w:noVBand="1"/>
      </w:tblPr>
      <w:tblGrid>
        <w:gridCol w:w="7650"/>
      </w:tblGrid>
      <w:tr w:rsidR="006A5AED" w:rsidRPr="001E6B5E" w14:paraId="1A4612E9" w14:textId="77777777" w:rsidTr="003A3076">
        <w:trPr>
          <w:trHeight w:val="3218"/>
          <w:jc w:val="center"/>
        </w:trPr>
        <w:tc>
          <w:tcPr>
            <w:tcW w:w="7650" w:type="dxa"/>
          </w:tcPr>
          <w:p w14:paraId="1B888B8D" w14:textId="57AFA2EA" w:rsidR="006A5AED" w:rsidRPr="001E6B5E" w:rsidRDefault="006A5AED" w:rsidP="00206BC1">
            <w:pPr>
              <w:tabs>
                <w:tab w:val="clear" w:pos="567"/>
              </w:tabs>
              <w:snapToGrid/>
              <w:spacing w:before="120" w:after="240"/>
              <w:jc w:val="center"/>
              <w:rPr>
                <w:rFonts w:cs="Arial"/>
                <w:bCs/>
                <w:szCs w:val="22"/>
                <w:u w:val="single"/>
              </w:rPr>
            </w:pPr>
            <w:r w:rsidRPr="001E6B5E">
              <w:rPr>
                <w:u w:val="single"/>
              </w:rPr>
              <w:t>Résumé</w:t>
            </w:r>
          </w:p>
          <w:p w14:paraId="40410ABF" w14:textId="77B47637" w:rsidR="006A5AED" w:rsidRPr="001E6B5E" w:rsidRDefault="005711E1" w:rsidP="00416F54">
            <w:pPr>
              <w:tabs>
                <w:tab w:val="clear" w:pos="567"/>
              </w:tabs>
              <w:snapToGrid/>
              <w:spacing w:after="240"/>
              <w:ind w:left="283" w:right="283"/>
              <w:jc w:val="both"/>
              <w:rPr>
                <w:rFonts w:cs="Arial"/>
                <w:b/>
                <w:bCs/>
                <w:szCs w:val="22"/>
              </w:rPr>
            </w:pPr>
            <w:r>
              <w:rPr>
                <w:rFonts w:cs="Arial"/>
                <w:bCs/>
                <w:szCs w:val="22"/>
              </w:rPr>
              <w:t>L</w:t>
            </w:r>
            <w:r w:rsidRPr="003E2197">
              <w:rPr>
                <w:rFonts w:cs="Arial"/>
                <w:bCs/>
                <w:szCs w:val="22"/>
              </w:rPr>
              <w:t>e</w:t>
            </w:r>
            <w:r>
              <w:rPr>
                <w:rFonts w:cs="Arial"/>
                <w:bCs/>
                <w:szCs w:val="22"/>
              </w:rPr>
              <w:t xml:space="preserve"> présent</w:t>
            </w:r>
            <w:r w:rsidRPr="003E2197">
              <w:rPr>
                <w:rFonts w:cs="Arial"/>
                <w:bCs/>
                <w:szCs w:val="22"/>
              </w:rPr>
              <w:t xml:space="preserve"> document </w:t>
            </w:r>
            <w:r>
              <w:rPr>
                <w:rFonts w:cs="Arial"/>
                <w:bCs/>
                <w:szCs w:val="22"/>
              </w:rPr>
              <w:t>contient</w:t>
            </w:r>
            <w:r w:rsidRPr="003E2197">
              <w:rPr>
                <w:rFonts w:cs="Arial"/>
                <w:bCs/>
                <w:szCs w:val="22"/>
              </w:rPr>
              <w:t xml:space="preserve"> une proposition de mandat révisé pour le </w:t>
            </w:r>
            <w:bookmarkStart w:id="0" w:name="_Hlk196725303"/>
            <w:r w:rsidRPr="003E2197">
              <w:rPr>
                <w:rFonts w:cs="Arial"/>
                <w:bCs/>
                <w:szCs w:val="22"/>
              </w:rPr>
              <w:t xml:space="preserve">Comité consultatif de la Décennie </w:t>
            </w:r>
            <w:bookmarkEnd w:id="0"/>
            <w:r w:rsidRPr="003E2197">
              <w:rPr>
                <w:rFonts w:cs="Arial"/>
                <w:bCs/>
                <w:szCs w:val="22"/>
              </w:rPr>
              <w:t xml:space="preserve">qui prendrait effet </w:t>
            </w:r>
            <w:r>
              <w:rPr>
                <w:rFonts w:cs="Arial"/>
                <w:bCs/>
                <w:szCs w:val="22"/>
              </w:rPr>
              <w:t>a</w:t>
            </w:r>
            <w:r w:rsidRPr="003E2197">
              <w:rPr>
                <w:rFonts w:cs="Arial"/>
                <w:bCs/>
                <w:szCs w:val="22"/>
              </w:rPr>
              <w:t>u 1</w:t>
            </w:r>
            <w:r w:rsidRPr="003E2197">
              <w:rPr>
                <w:rFonts w:cs="Arial"/>
                <w:bCs/>
                <w:szCs w:val="22"/>
                <w:vertAlign w:val="superscript"/>
              </w:rPr>
              <w:t>er</w:t>
            </w:r>
            <w:r>
              <w:rPr>
                <w:rFonts w:cs="Arial"/>
                <w:bCs/>
                <w:szCs w:val="22"/>
              </w:rPr>
              <w:t> </w:t>
            </w:r>
            <w:r w:rsidRPr="003E2197">
              <w:rPr>
                <w:rFonts w:cs="Arial"/>
                <w:bCs/>
                <w:szCs w:val="22"/>
              </w:rPr>
              <w:t>janvier 2026.</w:t>
            </w:r>
            <w:r w:rsidRPr="003E2197">
              <w:rPr>
                <w:color w:val="333333"/>
                <w:sz w:val="30"/>
                <w:szCs w:val="30"/>
                <w:shd w:val="clear" w:color="auto" w:fill="FFFFFF"/>
              </w:rPr>
              <w:t xml:space="preserve"> </w:t>
            </w:r>
            <w:r>
              <w:rPr>
                <w:rFonts w:cs="Arial"/>
                <w:bCs/>
                <w:szCs w:val="22"/>
              </w:rPr>
              <w:t>C</w:t>
            </w:r>
            <w:r w:rsidRPr="003E2197">
              <w:rPr>
                <w:rFonts w:cs="Arial"/>
                <w:bCs/>
                <w:szCs w:val="22"/>
              </w:rPr>
              <w:t>e mandat révisé a été élaboré principalement pour renforcer l</w:t>
            </w:r>
            <w:r>
              <w:rPr>
                <w:rFonts w:cs="Arial"/>
                <w:bCs/>
                <w:szCs w:val="22"/>
              </w:rPr>
              <w:t>’</w:t>
            </w:r>
            <w:r w:rsidRPr="003E2197">
              <w:rPr>
                <w:rFonts w:cs="Arial"/>
                <w:bCs/>
                <w:szCs w:val="22"/>
              </w:rPr>
              <w:t xml:space="preserve">orientation stratégique du </w:t>
            </w:r>
            <w:r>
              <w:rPr>
                <w:rFonts w:cs="Arial"/>
                <w:bCs/>
                <w:szCs w:val="22"/>
              </w:rPr>
              <w:t>Comité</w:t>
            </w:r>
            <w:r w:rsidRPr="003E2197">
              <w:rPr>
                <w:rFonts w:cs="Arial"/>
                <w:bCs/>
                <w:szCs w:val="22"/>
              </w:rPr>
              <w:t xml:space="preserve"> et </w:t>
            </w:r>
            <w:r>
              <w:rPr>
                <w:rFonts w:cs="Arial"/>
                <w:bCs/>
                <w:szCs w:val="22"/>
              </w:rPr>
              <w:t>préciser</w:t>
            </w:r>
            <w:r w:rsidRPr="003E2197">
              <w:rPr>
                <w:rFonts w:cs="Arial"/>
                <w:bCs/>
                <w:szCs w:val="22"/>
              </w:rPr>
              <w:t xml:space="preserve"> les questions relatives à </w:t>
            </w:r>
            <w:r>
              <w:rPr>
                <w:rFonts w:cs="Arial"/>
                <w:bCs/>
                <w:szCs w:val="22"/>
              </w:rPr>
              <w:t>s</w:t>
            </w:r>
            <w:r w:rsidRPr="003E2197">
              <w:rPr>
                <w:rFonts w:cs="Arial"/>
                <w:bCs/>
                <w:szCs w:val="22"/>
              </w:rPr>
              <w:t xml:space="preserve">a composition </w:t>
            </w:r>
            <w:r>
              <w:rPr>
                <w:rFonts w:cs="Arial"/>
                <w:bCs/>
                <w:szCs w:val="22"/>
              </w:rPr>
              <w:t>en ce qui concerne l</w:t>
            </w:r>
            <w:r w:rsidRPr="003E2197">
              <w:rPr>
                <w:rFonts w:cs="Arial"/>
                <w:bCs/>
                <w:szCs w:val="22"/>
              </w:rPr>
              <w:t xml:space="preserve">es </w:t>
            </w:r>
            <w:r>
              <w:rPr>
                <w:rFonts w:cs="Arial"/>
                <w:bCs/>
                <w:szCs w:val="22"/>
              </w:rPr>
              <w:t>experts siégeant à titre individuel</w:t>
            </w:r>
            <w:r w:rsidRPr="003E2197">
              <w:rPr>
                <w:rFonts w:cs="Arial"/>
                <w:bCs/>
                <w:szCs w:val="22"/>
              </w:rPr>
              <w:t xml:space="preserve"> et </w:t>
            </w:r>
            <w:r>
              <w:rPr>
                <w:rFonts w:cs="Arial"/>
                <w:bCs/>
                <w:szCs w:val="22"/>
              </w:rPr>
              <w:t>l</w:t>
            </w:r>
            <w:r w:rsidRPr="003E2197">
              <w:rPr>
                <w:rFonts w:cs="Arial"/>
                <w:bCs/>
                <w:szCs w:val="22"/>
              </w:rPr>
              <w:t xml:space="preserve">es représentants des </w:t>
            </w:r>
            <w:r>
              <w:rPr>
                <w:rFonts w:cs="Arial"/>
                <w:bCs/>
                <w:szCs w:val="22"/>
              </w:rPr>
              <w:t>organismes</w:t>
            </w:r>
            <w:r w:rsidRPr="003E2197">
              <w:rPr>
                <w:rFonts w:cs="Arial"/>
                <w:bCs/>
                <w:szCs w:val="22"/>
              </w:rPr>
              <w:t xml:space="preserve"> des Nations </w:t>
            </w:r>
            <w:r>
              <w:rPr>
                <w:rFonts w:cs="Arial"/>
                <w:bCs/>
                <w:szCs w:val="22"/>
              </w:rPr>
              <w:t>U</w:t>
            </w:r>
            <w:r w:rsidRPr="003E2197">
              <w:rPr>
                <w:rFonts w:cs="Arial"/>
                <w:bCs/>
                <w:szCs w:val="22"/>
              </w:rPr>
              <w:t xml:space="preserve">nies, conformément à la réponse de la </w:t>
            </w:r>
            <w:r>
              <w:rPr>
                <w:rFonts w:cs="Arial"/>
                <w:bCs/>
                <w:szCs w:val="22"/>
              </w:rPr>
              <w:t>D</w:t>
            </w:r>
            <w:r w:rsidRPr="003E2197">
              <w:rPr>
                <w:rFonts w:cs="Arial"/>
                <w:bCs/>
                <w:szCs w:val="22"/>
              </w:rPr>
              <w:t>irection</w:t>
            </w:r>
            <w:r>
              <w:rPr>
                <w:rFonts w:cs="Arial"/>
                <w:bCs/>
                <w:szCs w:val="22"/>
              </w:rPr>
              <w:t>,</w:t>
            </w:r>
            <w:r w:rsidRPr="003E2197">
              <w:rPr>
                <w:rFonts w:cs="Arial"/>
                <w:bCs/>
                <w:szCs w:val="22"/>
              </w:rPr>
              <w:t xml:space="preserve"> </w:t>
            </w:r>
            <w:r>
              <w:rPr>
                <w:rFonts w:cs="Arial"/>
                <w:bCs/>
                <w:szCs w:val="22"/>
              </w:rPr>
              <w:t>formulée par le</w:t>
            </w:r>
            <w:r w:rsidRPr="003E2197">
              <w:rPr>
                <w:rFonts w:cs="Arial"/>
                <w:bCs/>
                <w:szCs w:val="22"/>
              </w:rPr>
              <w:t xml:space="preserve"> </w:t>
            </w:r>
            <w:r>
              <w:rPr>
                <w:rFonts w:cs="Arial"/>
                <w:bCs/>
                <w:szCs w:val="22"/>
              </w:rPr>
              <w:t>S</w:t>
            </w:r>
            <w:r w:rsidRPr="003E2197">
              <w:rPr>
                <w:rFonts w:cs="Arial"/>
                <w:bCs/>
                <w:szCs w:val="22"/>
              </w:rPr>
              <w:t>ecrétaire exécutif de la COI</w:t>
            </w:r>
            <w:r>
              <w:rPr>
                <w:rFonts w:cs="Arial"/>
                <w:bCs/>
                <w:szCs w:val="22"/>
              </w:rPr>
              <w:t>,</w:t>
            </w:r>
            <w:r w:rsidRPr="003E2197">
              <w:rPr>
                <w:rFonts w:cs="Arial"/>
                <w:bCs/>
                <w:szCs w:val="22"/>
              </w:rPr>
              <w:t xml:space="preserve"> aux conclusions de l</w:t>
            </w:r>
            <w:r>
              <w:rPr>
                <w:rFonts w:cs="Arial"/>
                <w:bCs/>
                <w:szCs w:val="22"/>
              </w:rPr>
              <w:t>’</w:t>
            </w:r>
            <w:r w:rsidRPr="003E2197">
              <w:rPr>
                <w:rFonts w:cs="Arial"/>
                <w:bCs/>
                <w:szCs w:val="22"/>
              </w:rPr>
              <w:t xml:space="preserve">évaluation à mi-parcours de la Décennie </w:t>
            </w:r>
            <w:r>
              <w:rPr>
                <w:rFonts w:cs="Arial"/>
                <w:bCs/>
                <w:szCs w:val="22"/>
              </w:rPr>
              <w:t>de l’O</w:t>
            </w:r>
            <w:r w:rsidRPr="003E2197">
              <w:rPr>
                <w:rFonts w:cs="Arial"/>
                <w:bCs/>
                <w:szCs w:val="22"/>
              </w:rPr>
              <w:t>céan.</w:t>
            </w:r>
            <w:r w:rsidRPr="000436A1">
              <w:rPr>
                <w:color w:val="333333"/>
                <w:sz w:val="30"/>
                <w:szCs w:val="30"/>
                <w:shd w:val="clear" w:color="auto" w:fill="FFFFFF"/>
              </w:rPr>
              <w:t xml:space="preserve"> </w:t>
            </w:r>
            <w:r>
              <w:rPr>
                <w:rFonts w:cs="Arial"/>
                <w:bCs/>
                <w:szCs w:val="22"/>
              </w:rPr>
              <w:t>Il constitue en cela</w:t>
            </w:r>
            <w:r w:rsidRPr="000436A1">
              <w:rPr>
                <w:rFonts w:cs="Arial"/>
                <w:bCs/>
                <w:szCs w:val="22"/>
              </w:rPr>
              <w:t xml:space="preserve"> une première réponse importante à l</w:t>
            </w:r>
            <w:r>
              <w:rPr>
                <w:rFonts w:cs="Arial"/>
                <w:bCs/>
                <w:szCs w:val="22"/>
              </w:rPr>
              <w:t>’</w:t>
            </w:r>
            <w:r w:rsidRPr="000436A1">
              <w:rPr>
                <w:rFonts w:cs="Arial"/>
                <w:bCs/>
                <w:szCs w:val="22"/>
              </w:rPr>
              <w:t>évaluation à mi-parcours de la Décennie des Nations Unies pour les sciences océaniques au service du développement durable.</w:t>
            </w:r>
          </w:p>
        </w:tc>
      </w:tr>
    </w:tbl>
    <w:p w14:paraId="0C626017" w14:textId="4A5AA7E9" w:rsidR="005711E1" w:rsidRPr="000436A1" w:rsidRDefault="005711E1" w:rsidP="005711E1">
      <w:pPr>
        <w:spacing w:before="240" w:after="240"/>
        <w:jc w:val="both"/>
      </w:pPr>
      <w:r>
        <w:t>1.</w:t>
      </w:r>
      <w:r>
        <w:tab/>
      </w:r>
      <w:r w:rsidRPr="000436A1">
        <w:t>L’évaluation à mi-parcours de la Décennie de l</w:t>
      </w:r>
      <w:r>
        <w:t>’O</w:t>
      </w:r>
      <w:r w:rsidRPr="000436A1">
        <w:t xml:space="preserve">céan réalisée par </w:t>
      </w:r>
      <w:r>
        <w:t xml:space="preserve">la </w:t>
      </w:r>
      <w:r w:rsidRPr="000436A1">
        <w:t>Division des services de contrôle interne (IOS) de l</w:t>
      </w:r>
      <w:r>
        <w:t>’</w:t>
      </w:r>
      <w:r w:rsidRPr="000436A1">
        <w:t xml:space="preserve">UNESCO a donné lieu à sept recommandations de haut niveau visant à </w:t>
      </w:r>
      <w:r>
        <w:t>améliorer</w:t>
      </w:r>
      <w:r w:rsidRPr="000436A1">
        <w:t xml:space="preserve"> la mise en œuvre et </w:t>
      </w:r>
      <w:r>
        <w:t xml:space="preserve">à accroître </w:t>
      </w:r>
      <w:r w:rsidRPr="000436A1">
        <w:t>l</w:t>
      </w:r>
      <w:r>
        <w:t>’</w:t>
      </w:r>
      <w:r w:rsidRPr="000436A1">
        <w:t>impact de la Décennie de l</w:t>
      </w:r>
      <w:r>
        <w:t>’O</w:t>
      </w:r>
      <w:r w:rsidRPr="000436A1">
        <w:t>céan au cours de la seconde moitié de sa mise en œuvre.</w:t>
      </w:r>
      <w:r w:rsidRPr="000436A1">
        <w:rPr>
          <w:color w:val="333333"/>
          <w:sz w:val="30"/>
          <w:szCs w:val="30"/>
          <w:shd w:val="clear" w:color="auto" w:fill="FFFFFF"/>
        </w:rPr>
        <w:t xml:space="preserve"> </w:t>
      </w:r>
      <w:r w:rsidRPr="000436A1">
        <w:t xml:space="preserve">La première de ces recommandations portait sur la nécessité de rationaliser et de renforcer la gouvernance et la coordination de la Décennie </w:t>
      </w:r>
      <w:r>
        <w:t>de l’O</w:t>
      </w:r>
      <w:r w:rsidRPr="000436A1">
        <w:t xml:space="preserve">céan, notamment en </w:t>
      </w:r>
      <w:r>
        <w:t>consolidant</w:t>
      </w:r>
      <w:r w:rsidRPr="000436A1">
        <w:t xml:space="preserve"> le rôle stratégique du </w:t>
      </w:r>
      <w:r w:rsidRPr="000436A1">
        <w:rPr>
          <w:bCs/>
        </w:rPr>
        <w:t>Comité consultatif de la Décennie</w:t>
      </w:r>
      <w:r w:rsidRPr="000436A1">
        <w:t>.</w:t>
      </w:r>
      <w:r>
        <w:t xml:space="preserve"> </w:t>
      </w:r>
      <w:r w:rsidRPr="00096C07">
        <w:t xml:space="preserve">La réponse de la </w:t>
      </w:r>
      <w:r>
        <w:t>D</w:t>
      </w:r>
      <w:r w:rsidRPr="00096C07">
        <w:t>irection de la COI à l</w:t>
      </w:r>
      <w:r>
        <w:t>’</w:t>
      </w:r>
      <w:r w:rsidRPr="00096C07">
        <w:t xml:space="preserve">évaluation a accepté cette recommandation et lors de la </w:t>
      </w:r>
      <w:hyperlink r:id="rId8" w:history="1">
        <w:r w:rsidRPr="00003712">
          <w:rPr>
            <w:rStyle w:val="Lienhypertexte"/>
            <w:rFonts w:asciiTheme="minorBidi" w:hAnsiTheme="minorBidi" w:cstheme="minorBidi"/>
          </w:rPr>
          <w:t>réunion n°</w:t>
        </w:r>
        <w:r>
          <w:rPr>
            <w:rStyle w:val="Lienhypertexte"/>
            <w:rFonts w:asciiTheme="minorBidi" w:hAnsiTheme="minorBidi" w:cstheme="minorBidi"/>
          </w:rPr>
          <w:t> </w:t>
        </w:r>
        <w:r w:rsidRPr="00003712">
          <w:rPr>
            <w:rStyle w:val="Lienhypertexte"/>
            <w:rFonts w:asciiTheme="minorBidi" w:hAnsiTheme="minorBidi" w:cstheme="minorBidi"/>
          </w:rPr>
          <w:t>02/2025</w:t>
        </w:r>
      </w:hyperlink>
      <w:r w:rsidRPr="00096C07">
        <w:t xml:space="preserve"> du </w:t>
      </w:r>
      <w:r w:rsidRPr="00003712">
        <w:rPr>
          <w:bCs/>
        </w:rPr>
        <w:t>Comité consultatif de la Décennie</w:t>
      </w:r>
      <w:r w:rsidRPr="00096C07">
        <w:t xml:space="preserve"> (mai 2025), une </w:t>
      </w:r>
      <w:r>
        <w:t>séance</w:t>
      </w:r>
      <w:r w:rsidRPr="00096C07">
        <w:t xml:space="preserve"> de travail a été organisée pour </w:t>
      </w:r>
      <w:r>
        <w:t>examiner</w:t>
      </w:r>
      <w:r w:rsidRPr="00096C07">
        <w:t xml:space="preserve"> la révision du mandat</w:t>
      </w:r>
      <w:r>
        <w:t xml:space="preserve"> du Comité</w:t>
      </w:r>
      <w:r w:rsidRPr="00096C07">
        <w:t>.</w:t>
      </w:r>
    </w:p>
    <w:p w14:paraId="350D095B" w14:textId="1D79CF01" w:rsidR="005711E1" w:rsidRPr="001476AC" w:rsidRDefault="005711E1" w:rsidP="005711E1">
      <w:pPr>
        <w:spacing w:before="240" w:after="240"/>
        <w:jc w:val="both"/>
      </w:pPr>
      <w:r>
        <w:t>2.</w:t>
      </w:r>
      <w:r>
        <w:tab/>
      </w:r>
      <w:r w:rsidRPr="001476AC">
        <w:t>Le projet de mandat révisé est présenté ci-après.</w:t>
      </w:r>
      <w:r>
        <w:t xml:space="preserve"> Il</w:t>
      </w:r>
      <w:r w:rsidRPr="001476AC">
        <w:t xml:space="preserve"> vise à renforcer le rôle stratégique du </w:t>
      </w:r>
      <w:r>
        <w:t>Comité</w:t>
      </w:r>
      <w:r w:rsidRPr="001476AC">
        <w:t>, notamment dans les domaines de la mobilisation de ressources, de l</w:t>
      </w:r>
      <w:r>
        <w:t>’</w:t>
      </w:r>
      <w:r w:rsidRPr="001476AC">
        <w:t>engagement des parties prenantes et de l</w:t>
      </w:r>
      <w:r>
        <w:t>’</w:t>
      </w:r>
      <w:r w:rsidRPr="001476AC">
        <w:t>impact de la science sur les politiques, ainsi qu</w:t>
      </w:r>
      <w:r>
        <w:t>’</w:t>
      </w:r>
      <w:r w:rsidRPr="001476AC">
        <w:t xml:space="preserve">à </w:t>
      </w:r>
      <w:r>
        <w:t>préciser</w:t>
      </w:r>
      <w:r w:rsidRPr="001476AC">
        <w:t xml:space="preserve"> et à renforcer le rôle, et éventuellement le nombre, des représentants </w:t>
      </w:r>
      <w:r>
        <w:t>d’organismes</w:t>
      </w:r>
      <w:r w:rsidRPr="001476AC">
        <w:t xml:space="preserve"> des Nations </w:t>
      </w:r>
      <w:r>
        <w:t>U</w:t>
      </w:r>
      <w:r w:rsidRPr="001476AC">
        <w:t xml:space="preserve">nies au sein du </w:t>
      </w:r>
      <w:r>
        <w:t>Comité</w:t>
      </w:r>
      <w:r w:rsidRPr="001476AC">
        <w:t>.</w:t>
      </w:r>
      <w:r>
        <w:t xml:space="preserve"> </w:t>
      </w:r>
      <w:r w:rsidRPr="001476AC">
        <w:t xml:space="preserve">Il </w:t>
      </w:r>
      <w:r>
        <w:t>comporte</w:t>
      </w:r>
      <w:r w:rsidRPr="001476AC">
        <w:t xml:space="preserve"> également </w:t>
      </w:r>
      <w:r>
        <w:t>une</w:t>
      </w:r>
      <w:r w:rsidRPr="001476AC">
        <w:t xml:space="preserve"> </w:t>
      </w:r>
      <w:r>
        <w:t>actualisation</w:t>
      </w:r>
      <w:r w:rsidRPr="001476AC">
        <w:t xml:space="preserve"> </w:t>
      </w:r>
      <w:r>
        <w:t>des procédures</w:t>
      </w:r>
      <w:r w:rsidRPr="001476AC">
        <w:t xml:space="preserve">, notamment des dispositions relatives au remplacement des membres inactifs du </w:t>
      </w:r>
      <w:r>
        <w:t>Comité</w:t>
      </w:r>
      <w:r w:rsidRPr="001476AC">
        <w:t>.</w:t>
      </w:r>
      <w:r>
        <w:t xml:space="preserve"> </w:t>
      </w:r>
    </w:p>
    <w:p w14:paraId="502CA7F9" w14:textId="434B2F3D" w:rsidR="005711E1" w:rsidRPr="001476AC" w:rsidRDefault="005711E1" w:rsidP="005711E1">
      <w:pPr>
        <w:spacing w:before="240" w:after="240"/>
        <w:jc w:val="both"/>
      </w:pPr>
      <w:r>
        <w:lastRenderedPageBreak/>
        <w:t>3.</w:t>
      </w:r>
      <w:r>
        <w:tab/>
      </w:r>
      <w:r w:rsidRPr="001476AC">
        <w:t xml:space="preserve">Le projet de mandat révisé a été examiné par les membres actuels du </w:t>
      </w:r>
      <w:r>
        <w:t>Comité</w:t>
      </w:r>
      <w:r w:rsidRPr="001476AC">
        <w:t xml:space="preserve"> et entrera</w:t>
      </w:r>
      <w:r>
        <w:t>it</w:t>
      </w:r>
      <w:r w:rsidRPr="001476AC">
        <w:t xml:space="preserve"> en vigueur avec la prochaine cohorte du </w:t>
      </w:r>
      <w:r>
        <w:t>Comité</w:t>
      </w:r>
      <w:r w:rsidRPr="001476AC">
        <w:t xml:space="preserve"> en janvier 2026.</w:t>
      </w:r>
    </w:p>
    <w:p w14:paraId="5C34D2F9" w14:textId="77777777" w:rsidR="005711E1" w:rsidRPr="00734B16" w:rsidRDefault="005711E1" w:rsidP="00AE77AE">
      <w:pPr>
        <w:pStyle w:val="COI"/>
        <w:ind w:left="567"/>
      </w:pPr>
      <w:r w:rsidRPr="00734B16">
        <w:rPr>
          <w:noProof/>
        </w:rPr>
        <w:drawing>
          <wp:inline distT="0" distB="0" distL="0" distR="0" wp14:anchorId="326F4497" wp14:editId="71A71777">
            <wp:extent cx="1485900" cy="1057275"/>
            <wp:effectExtent l="0" t="0" r="0" b="0"/>
            <wp:docPr id="1678231349" name="Picture 2" descr="A logo with a spiral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logo with a spiral in the center&#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057275"/>
                    </a:xfrm>
                    <a:prstGeom prst="rect">
                      <a:avLst/>
                    </a:prstGeom>
                    <a:noFill/>
                    <a:ln>
                      <a:noFill/>
                    </a:ln>
                  </pic:spPr>
                </pic:pic>
              </a:graphicData>
            </a:graphic>
          </wp:inline>
        </w:drawing>
      </w:r>
    </w:p>
    <w:p w14:paraId="758D5D20" w14:textId="261152E8" w:rsidR="005711E1" w:rsidRPr="001B4535" w:rsidRDefault="005711E1" w:rsidP="001B4535">
      <w:pPr>
        <w:jc w:val="center"/>
        <w:rPr>
          <w:b/>
          <w:bCs/>
        </w:rPr>
      </w:pPr>
      <w:r w:rsidRPr="001B4535">
        <w:rPr>
          <w:b/>
          <w:bCs/>
        </w:rPr>
        <w:t xml:space="preserve">Comité consultatif de la Décennie des Nations Unies pour les sciences océaniques </w:t>
      </w:r>
      <w:r w:rsidR="001B4535">
        <w:rPr>
          <w:b/>
          <w:bCs/>
        </w:rPr>
        <w:br/>
      </w:r>
      <w:r w:rsidRPr="001B4535">
        <w:rPr>
          <w:b/>
          <w:bCs/>
        </w:rPr>
        <w:t>au service du développement durable</w:t>
      </w:r>
    </w:p>
    <w:p w14:paraId="718E7A4A" w14:textId="10E9D497" w:rsidR="005711E1" w:rsidRPr="001476AC" w:rsidRDefault="005711E1" w:rsidP="001B4535">
      <w:pPr>
        <w:spacing w:after="240"/>
        <w:jc w:val="center"/>
      </w:pPr>
      <w:r w:rsidRPr="001B4535">
        <w:rPr>
          <w:b/>
          <w:bCs/>
        </w:rPr>
        <w:t>(</w:t>
      </w:r>
      <w:proofErr w:type="gramStart"/>
      <w:r w:rsidRPr="001B4535">
        <w:rPr>
          <w:b/>
          <w:bCs/>
        </w:rPr>
        <w:t>le</w:t>
      </w:r>
      <w:proofErr w:type="gramEnd"/>
      <w:r w:rsidRPr="001B4535">
        <w:rPr>
          <w:b/>
          <w:bCs/>
        </w:rPr>
        <w:t xml:space="preserve"> Comité consultatif de la Décennie)</w:t>
      </w:r>
    </w:p>
    <w:p w14:paraId="01F64EF0" w14:textId="77777777" w:rsidR="005711E1" w:rsidRPr="001476AC" w:rsidRDefault="005711E1" w:rsidP="005711E1">
      <w:pPr>
        <w:spacing w:before="240" w:after="240"/>
        <w:jc w:val="both"/>
      </w:pPr>
      <w:r w:rsidRPr="001B4535">
        <w:rPr>
          <w:b/>
          <w:bCs/>
        </w:rPr>
        <w:t>Projet de mandat révisé (avril 2025)</w:t>
      </w:r>
      <w:r w:rsidRPr="00734B16">
        <w:rPr>
          <w:vertAlign w:val="superscript"/>
          <w:lang w:val="en-US"/>
        </w:rPr>
        <w:footnoteReference w:id="1"/>
      </w:r>
    </w:p>
    <w:p w14:paraId="613F0FF2" w14:textId="77777777" w:rsidR="005711E1" w:rsidRPr="00745532" w:rsidRDefault="005711E1" w:rsidP="005711E1">
      <w:pPr>
        <w:spacing w:before="240" w:after="240"/>
        <w:jc w:val="both"/>
      </w:pPr>
      <w:r w:rsidRPr="00745532">
        <w:t xml:space="preserve">Le Comité consultatif de la </w:t>
      </w:r>
      <w:bookmarkStart w:id="1" w:name="_Hlk196727515"/>
      <w:r w:rsidRPr="00745532">
        <w:t>Décennie des Nations Unies pour les sciences océaniques au service du développement durable</w:t>
      </w:r>
      <w:bookmarkEnd w:id="1"/>
      <w:r w:rsidRPr="00745532">
        <w:t xml:space="preserve"> (le «</w:t>
      </w:r>
      <w:r>
        <w:t> </w:t>
      </w:r>
      <w:bookmarkStart w:id="2" w:name="_Hlk196727426"/>
      <w:r w:rsidRPr="00745532">
        <w:t>Comité consultatif de la Décennie</w:t>
      </w:r>
      <w:bookmarkEnd w:id="2"/>
      <w:r>
        <w:t> </w:t>
      </w:r>
      <w:r w:rsidRPr="00745532">
        <w:t xml:space="preserve">») est établi en tant qu’organe consultatif technique auprès du Secrétariat et des organes directeurs de la Commission océanographique intergouvernementale (COI) de l’UNESCO. </w:t>
      </w:r>
    </w:p>
    <w:p w14:paraId="4B53B10D" w14:textId="77777777" w:rsidR="005711E1" w:rsidRPr="00745532" w:rsidRDefault="005711E1" w:rsidP="005711E1">
      <w:pPr>
        <w:spacing w:before="240" w:after="240"/>
        <w:jc w:val="both"/>
      </w:pPr>
      <w:r w:rsidRPr="00745532">
        <w:t xml:space="preserve">Ce mandat révisé prend effet </w:t>
      </w:r>
      <w:r>
        <w:t>a</w:t>
      </w:r>
      <w:r w:rsidRPr="00745532">
        <w:t>u 1</w:t>
      </w:r>
      <w:r w:rsidRPr="00745532">
        <w:rPr>
          <w:vertAlign w:val="superscript"/>
        </w:rPr>
        <w:t>er</w:t>
      </w:r>
      <w:r>
        <w:t> </w:t>
      </w:r>
      <w:r w:rsidRPr="00745532">
        <w:t xml:space="preserve">janvier 2026. </w:t>
      </w:r>
    </w:p>
    <w:p w14:paraId="64BC0D0C" w14:textId="77777777" w:rsidR="005711E1" w:rsidRPr="001B4535" w:rsidRDefault="005711E1" w:rsidP="005711E1">
      <w:pPr>
        <w:spacing w:before="240" w:after="240"/>
        <w:jc w:val="both"/>
        <w:rPr>
          <w:b/>
          <w:bCs/>
        </w:rPr>
      </w:pPr>
      <w:r w:rsidRPr="001B4535">
        <w:rPr>
          <w:b/>
          <w:bCs/>
        </w:rPr>
        <w:t>Rôle du Comité consultatif de la Décennie</w:t>
      </w:r>
    </w:p>
    <w:p w14:paraId="1D4D7096" w14:textId="77777777" w:rsidR="005711E1" w:rsidRPr="00B50D79" w:rsidRDefault="005711E1" w:rsidP="005711E1">
      <w:pPr>
        <w:spacing w:before="240" w:after="240"/>
        <w:jc w:val="both"/>
      </w:pPr>
      <w:r w:rsidRPr="00745532">
        <w:t xml:space="preserve">Le Comité consultatif de la Décennie est chargé de fournir des conseils </w:t>
      </w:r>
      <w:r>
        <w:t xml:space="preserve">et orientations </w:t>
      </w:r>
      <w:r w:rsidRPr="00745532">
        <w:t>stratégiques sur la mise en œuvre de la Décennie des Nations Unies pour les sciences océaniques au service du développement durable (</w:t>
      </w:r>
      <w:r>
        <w:t>« </w:t>
      </w:r>
      <w:r w:rsidRPr="00745532">
        <w:t>la Décennie de l</w:t>
      </w:r>
      <w:r>
        <w:t>’O</w:t>
      </w:r>
      <w:r w:rsidRPr="00745532">
        <w:t>céan</w:t>
      </w:r>
      <w:r>
        <w:t> »</w:t>
      </w:r>
      <w:r w:rsidRPr="00745532">
        <w:t xml:space="preserve">) au cours de sa phase de mise en œuvre de </w:t>
      </w:r>
      <w:r>
        <w:t>10 </w:t>
      </w:r>
      <w:r w:rsidRPr="00745532">
        <w:t>ans (2021-2030).</w:t>
      </w:r>
      <w:r>
        <w:t xml:space="preserve"> </w:t>
      </w:r>
      <w:r w:rsidRPr="00745532">
        <w:t xml:space="preserve">Il rend compte aux organes directeurs et au </w:t>
      </w:r>
      <w:r>
        <w:t>S</w:t>
      </w:r>
      <w:r w:rsidRPr="00745532">
        <w:t xml:space="preserve">ecrétaire exécutif de la COI des questions stratégiques, techniques et de ressources liées à la mise en œuvre de la Décennie </w:t>
      </w:r>
      <w:r>
        <w:t>de l’Océan</w:t>
      </w:r>
      <w:r w:rsidRPr="00745532">
        <w:t>, et fournit des conseils sur l</w:t>
      </w:r>
      <w:r>
        <w:t>’</w:t>
      </w:r>
      <w:r w:rsidRPr="00745532">
        <w:t>approbation des actions de la Décennie et la définition du champ d</w:t>
      </w:r>
      <w:r>
        <w:t>’</w:t>
      </w:r>
      <w:r w:rsidRPr="00745532">
        <w:t xml:space="preserve">application </w:t>
      </w:r>
      <w:r>
        <w:t>de l’</w:t>
      </w:r>
      <w:r w:rsidRPr="00745532">
        <w:t>Appel à l’action de la Décennie.</w:t>
      </w:r>
      <w:r w:rsidRPr="00B50D79">
        <w:rPr>
          <w:color w:val="333333"/>
          <w:sz w:val="30"/>
          <w:szCs w:val="30"/>
          <w:shd w:val="clear" w:color="auto" w:fill="FFFFFF"/>
        </w:rPr>
        <w:t xml:space="preserve"> </w:t>
      </w:r>
      <w:r w:rsidRPr="00B50D79">
        <w:t>Conformément au plan de mise en œuvre de la Décennie de l</w:t>
      </w:r>
      <w:r>
        <w:t>’O</w:t>
      </w:r>
      <w:r w:rsidRPr="00B50D79">
        <w:t xml:space="preserve">céan, aux résultats du processus </w:t>
      </w:r>
      <w:r>
        <w:t>« </w:t>
      </w:r>
      <w:r w:rsidRPr="00B50D79">
        <w:t>Vision</w:t>
      </w:r>
      <w:r>
        <w:t> </w:t>
      </w:r>
      <w:r w:rsidRPr="00B50D79">
        <w:t>2030</w:t>
      </w:r>
      <w:r>
        <w:t> »</w:t>
      </w:r>
      <w:r w:rsidRPr="00B50D79">
        <w:t xml:space="preserve"> et à la réponse de la </w:t>
      </w:r>
      <w:r>
        <w:t>D</w:t>
      </w:r>
      <w:r w:rsidRPr="00B50D79">
        <w:t xml:space="preserve">irection </w:t>
      </w:r>
      <w:r>
        <w:t>concernant</w:t>
      </w:r>
      <w:r w:rsidRPr="00B50D79">
        <w:t xml:space="preserve"> l</w:t>
      </w:r>
      <w:r>
        <w:t>’</w:t>
      </w:r>
      <w:r w:rsidRPr="00B50D79">
        <w:t>évaluation à mi-parcours de la Décennie de l</w:t>
      </w:r>
      <w:r>
        <w:t>’O</w:t>
      </w:r>
      <w:r w:rsidRPr="00B50D79">
        <w:t xml:space="preserve">céan, le Comité consultatif de la Décennie </w:t>
      </w:r>
      <w:r>
        <w:t>exercera les fonctions</w:t>
      </w:r>
      <w:r w:rsidRPr="00B50D79">
        <w:t xml:space="preserve"> suivantes</w:t>
      </w:r>
      <w:r>
        <w:t> </w:t>
      </w:r>
      <w:r w:rsidRPr="00B50D79">
        <w:t>:</w:t>
      </w:r>
    </w:p>
    <w:p w14:paraId="3EE4DB32" w14:textId="552F4A3A" w:rsidR="005711E1" w:rsidRPr="003A3076" w:rsidRDefault="005711E1" w:rsidP="003E63EE">
      <w:pPr>
        <w:pStyle w:val="COI"/>
        <w:spacing w:after="240"/>
        <w:rPr>
          <w:lang w:val="fr-FR"/>
        </w:rPr>
      </w:pPr>
      <w:r w:rsidRPr="003A3076">
        <w:rPr>
          <w:lang w:val="fr-FR"/>
        </w:rPr>
        <w:t>(i)</w:t>
      </w:r>
      <w:r w:rsidRPr="003A3076">
        <w:rPr>
          <w:lang w:val="fr-FR"/>
        </w:rPr>
        <w:tab/>
        <w:t>donner des orientations sur l’identification des lacunes et des domaines prioritaires en matière d’océanographie, de connaissances, d’innovation et de mobilisation de ressources, en fonction des besoins, des défis et des nouvelles opportunités au niveau mondial et dans les États membres ;</w:t>
      </w:r>
    </w:p>
    <w:p w14:paraId="6CB9E98C" w14:textId="14CA6FF7" w:rsidR="005711E1" w:rsidRPr="003A3076" w:rsidRDefault="005711E1" w:rsidP="003E63EE">
      <w:pPr>
        <w:pStyle w:val="COI"/>
        <w:spacing w:after="240"/>
        <w:rPr>
          <w:lang w:val="fr-FR"/>
        </w:rPr>
      </w:pPr>
      <w:r w:rsidRPr="003A3076">
        <w:rPr>
          <w:lang w:val="fr-FR"/>
        </w:rPr>
        <w:t>(ii)</w:t>
      </w:r>
      <w:r w:rsidRPr="003A3076">
        <w:rPr>
          <w:lang w:val="fr-FR"/>
        </w:rPr>
        <w:tab/>
        <w:t>conseiller sur les moyens de favoriser les partenariats, de renforcer l’échange de connaissances et de faciliter le transfert des résultats scientifiques, des savoirs et des technologies vers les utilisateurs finaux ;</w:t>
      </w:r>
    </w:p>
    <w:p w14:paraId="33419EA4" w14:textId="700D49EF" w:rsidR="005711E1" w:rsidRPr="003A3076" w:rsidRDefault="005711E1" w:rsidP="003E63EE">
      <w:pPr>
        <w:pStyle w:val="COI"/>
        <w:spacing w:after="240"/>
        <w:rPr>
          <w:lang w:val="fr-FR"/>
        </w:rPr>
      </w:pPr>
      <w:r w:rsidRPr="003A3076">
        <w:rPr>
          <w:lang w:val="fr-FR"/>
        </w:rPr>
        <w:t>(iii)</w:t>
      </w:r>
      <w:r w:rsidRPr="003A3076">
        <w:rPr>
          <w:lang w:val="fr-FR"/>
        </w:rPr>
        <w:tab/>
        <w:t xml:space="preserve">fournir des conseils sur les approches et les actions en matière de mobilisation de ressources, à la fois pour assurer la coordination de la Décennie de l’Océan et pour renforcer le paysage de l’investissement et du financement des actions de la Décennie, et soutenir les efforts de sensibilisation en direction des bailleurs de fonds potentiels afin de réaliser les ambitions de la Décennie ; </w:t>
      </w:r>
    </w:p>
    <w:p w14:paraId="776FB9F0" w14:textId="25F755DC" w:rsidR="005711E1" w:rsidRPr="003A3076" w:rsidRDefault="005711E1" w:rsidP="003E63EE">
      <w:pPr>
        <w:pStyle w:val="COI"/>
        <w:spacing w:after="240"/>
        <w:rPr>
          <w:lang w:val="fr-FR"/>
        </w:rPr>
      </w:pPr>
      <w:r w:rsidRPr="003A3076">
        <w:rPr>
          <w:lang w:val="fr-FR"/>
        </w:rPr>
        <w:t>(iv)</w:t>
      </w:r>
      <w:r w:rsidRPr="003A3076">
        <w:rPr>
          <w:lang w:val="fr-FR"/>
        </w:rPr>
        <w:tab/>
      </w:r>
      <w:proofErr w:type="gramStart"/>
      <w:r w:rsidRPr="003A3076">
        <w:rPr>
          <w:lang w:val="fr-FR"/>
        </w:rPr>
        <w:t>donner</w:t>
      </w:r>
      <w:proofErr w:type="gramEnd"/>
      <w:r w:rsidRPr="003A3076">
        <w:rPr>
          <w:lang w:val="fr-FR"/>
        </w:rPr>
        <w:t xml:space="preserve"> des conseils sur la stratégie de mobilisation et de communication de la Décennie afin d’aider à susciter un intérêt et un engagement de haut niveau parmi les principales parties prenantes, notamment les États membres, les organismes des Nations Unies, les entreprises, la société civile et les milieux universitaires, afin d’assurer la réalisation de la vision et de la mission de la Décennie de l’Océan ; </w:t>
      </w:r>
    </w:p>
    <w:p w14:paraId="143D2D84" w14:textId="278F3A57" w:rsidR="005711E1" w:rsidRPr="003A3076" w:rsidRDefault="005711E1" w:rsidP="003E63EE">
      <w:pPr>
        <w:pStyle w:val="COI"/>
        <w:spacing w:after="240"/>
        <w:rPr>
          <w:lang w:val="fr-FR"/>
        </w:rPr>
      </w:pPr>
      <w:r w:rsidRPr="003A3076">
        <w:rPr>
          <w:lang w:val="fr-FR"/>
        </w:rPr>
        <w:t>(v)</w:t>
      </w:r>
      <w:r w:rsidRPr="003A3076">
        <w:rPr>
          <w:lang w:val="fr-FR"/>
        </w:rPr>
        <w:tab/>
        <w:t>en tant que groupe et à titre individuel, se faire les champions et les porte-parole</w:t>
      </w:r>
      <w:r w:rsidR="00AE77AE">
        <w:rPr>
          <w:lang w:val="fr-FR"/>
        </w:rPr>
        <w:t>s</w:t>
      </w:r>
      <w:r w:rsidRPr="003A3076">
        <w:rPr>
          <w:lang w:val="fr-FR"/>
        </w:rPr>
        <w:t xml:space="preserve"> de la Décennie de l’Océan, notamment de sa vision, de sa mission et de ses priorités stratégiques ; </w:t>
      </w:r>
    </w:p>
    <w:p w14:paraId="0A07E837" w14:textId="4AA986EA" w:rsidR="005711E1" w:rsidRPr="003A3076" w:rsidRDefault="005711E1" w:rsidP="003E63EE">
      <w:pPr>
        <w:pStyle w:val="COI"/>
        <w:spacing w:after="240"/>
        <w:rPr>
          <w:lang w:val="fr-FR"/>
        </w:rPr>
      </w:pPr>
      <w:r w:rsidRPr="003A3076">
        <w:rPr>
          <w:lang w:val="fr-FR"/>
        </w:rPr>
        <w:t>(vi)</w:t>
      </w:r>
      <w:r w:rsidRPr="003A3076">
        <w:rPr>
          <w:lang w:val="fr-FR"/>
        </w:rPr>
        <w:tab/>
        <w:t>donner des orientations et des conseils sur la mise en œuvre de la réponse de la Direction, formulée par le Secrétaire exécutif de la COI, au processus d’évaluation à mi</w:t>
      </w:r>
      <w:r w:rsidR="00F25875">
        <w:rPr>
          <w:lang w:val="fr-FR"/>
        </w:rPr>
        <w:noBreakHyphen/>
      </w:r>
      <w:r w:rsidRPr="003A3076">
        <w:rPr>
          <w:lang w:val="fr-FR"/>
        </w:rPr>
        <w:t xml:space="preserve">parcours de la Décennie de l’Océan, contribuer à définir le champ de l’évaluation finale de la Décennie de l’Océan et formuler des recommandations sur la mise en œuvre des conclusions et recommandations de cette évaluation ; </w:t>
      </w:r>
    </w:p>
    <w:p w14:paraId="6C642F7D" w14:textId="3D5BFD17" w:rsidR="005711E1" w:rsidRPr="003A3076" w:rsidRDefault="005711E1" w:rsidP="003E63EE">
      <w:pPr>
        <w:pStyle w:val="COI"/>
        <w:spacing w:after="240"/>
        <w:rPr>
          <w:lang w:val="fr-FR"/>
        </w:rPr>
      </w:pPr>
      <w:r w:rsidRPr="003A3076">
        <w:rPr>
          <w:lang w:val="fr-FR"/>
        </w:rPr>
        <w:t>(vii)</w:t>
      </w:r>
      <w:r w:rsidRPr="003A3076">
        <w:rPr>
          <w:lang w:val="fr-FR"/>
        </w:rPr>
        <w:tab/>
        <w:t>conseiller sur les moyens d’assurer le leadership et la participation active des communautés d’acteurs concernés, en accordant la priorité aux jeunes spécialistes de l’océan, aux personnes et aux institutions des petits États insulaires en développement (PEID) et des pays les moins avancés (PMA), aux peuples autochtones et communautés locales, ainsi qu’à d’autres groupes sous-représentés ;</w:t>
      </w:r>
    </w:p>
    <w:p w14:paraId="5A7EC060" w14:textId="4E5BF6D5" w:rsidR="005711E1" w:rsidRPr="003A3076" w:rsidRDefault="005711E1" w:rsidP="003E63EE">
      <w:pPr>
        <w:pStyle w:val="COI"/>
        <w:spacing w:after="240"/>
        <w:rPr>
          <w:lang w:val="fr-FR"/>
        </w:rPr>
      </w:pPr>
      <w:r w:rsidRPr="003A3076">
        <w:rPr>
          <w:lang w:val="fr-FR"/>
        </w:rPr>
        <w:t>(viii)</w:t>
      </w:r>
      <w:r w:rsidRPr="003A3076">
        <w:rPr>
          <w:lang w:val="fr-FR"/>
        </w:rPr>
        <w:tab/>
        <w:t xml:space="preserve">conseiller sur les mesures et les approches permettant d’optimiser les synergies entre les actions de la Décennie, les structures de coordination décentralisées et les comités nationaux de la Décennie, et en accroître l’impact, ainsi que sur les moyens de renforcer les voies d’impact pertinentes qui permettent de faire en sorte que la science et les savoirs produits par la Décennie de l’Océan éclairent la prise de décisions. Cela passe notamment par une série de mécanismes de mobilisation, selon les besoins, dans le cadre d’interactions ciblées et pertinentes avec les actions de la Décennie, les structures de coordination décentralisées et les comités nationaux de la Décennie ; </w:t>
      </w:r>
    </w:p>
    <w:p w14:paraId="4BA7075A" w14:textId="1D3AC49C" w:rsidR="005711E1" w:rsidRPr="003A3076" w:rsidRDefault="005711E1" w:rsidP="003E63EE">
      <w:pPr>
        <w:pStyle w:val="COI"/>
        <w:spacing w:after="240"/>
        <w:rPr>
          <w:lang w:val="fr-FR"/>
        </w:rPr>
      </w:pPr>
      <w:r w:rsidRPr="003A3076">
        <w:rPr>
          <w:lang w:val="fr-FR"/>
        </w:rPr>
        <w:t>(ix)</w:t>
      </w:r>
      <w:r w:rsidRPr="003A3076">
        <w:rPr>
          <w:lang w:val="fr-FR"/>
        </w:rPr>
        <w:tab/>
        <w:t>à la demande du Secrétaire exécutif, assurer le suivi des progrès et évaluer les résultats des groupes de travail établis par le Secrétariat de la COI concernant les éléments opérationnels structurels et transversaux du Plan de mise en œuvre de la Décennie ;</w:t>
      </w:r>
    </w:p>
    <w:p w14:paraId="61D1F7C9" w14:textId="6012AA47" w:rsidR="005711E1" w:rsidRPr="003A3076" w:rsidRDefault="005711E1" w:rsidP="003E63EE">
      <w:pPr>
        <w:pStyle w:val="COI"/>
        <w:spacing w:after="240"/>
        <w:rPr>
          <w:lang w:val="fr-FR"/>
        </w:rPr>
      </w:pPr>
      <w:r w:rsidRPr="003A3076">
        <w:rPr>
          <w:lang w:val="fr-FR"/>
        </w:rPr>
        <w:t>(x)</w:t>
      </w:r>
      <w:r w:rsidRPr="003A3076">
        <w:rPr>
          <w:lang w:val="fr-FR"/>
        </w:rPr>
        <w:tab/>
        <w:t>évaluer et formuler des recommandations au Secrétaire exécutif de la COI quant à l’approbation des programmes de la Décennie ;</w:t>
      </w:r>
    </w:p>
    <w:p w14:paraId="4F1BD008" w14:textId="7272EA71" w:rsidR="005711E1" w:rsidRPr="003A3076" w:rsidRDefault="005711E1" w:rsidP="003E63EE">
      <w:pPr>
        <w:pStyle w:val="COI"/>
        <w:spacing w:after="240"/>
        <w:rPr>
          <w:lang w:val="fr-FR"/>
        </w:rPr>
      </w:pPr>
      <w:r w:rsidRPr="003A3076">
        <w:rPr>
          <w:lang w:val="fr-FR"/>
        </w:rPr>
        <w:t>(xi)</w:t>
      </w:r>
      <w:r w:rsidRPr="003A3076">
        <w:rPr>
          <w:lang w:val="fr-FR"/>
        </w:rPr>
        <w:tab/>
        <w:t>conseiller le Secrétaire exécutif de la COI sur la portée des appels à l’action dans le cadre de la Décennie afin de soutenir la mobilisation des promoteurs ;</w:t>
      </w:r>
    </w:p>
    <w:p w14:paraId="79089FF7" w14:textId="394DE765" w:rsidR="005711E1" w:rsidRPr="003A3076" w:rsidRDefault="005711E1" w:rsidP="003E63EE">
      <w:pPr>
        <w:pStyle w:val="COI"/>
        <w:spacing w:after="240"/>
        <w:rPr>
          <w:lang w:val="fr-FR"/>
        </w:rPr>
      </w:pPr>
      <w:r w:rsidRPr="003A3076">
        <w:rPr>
          <w:lang w:val="fr-FR"/>
        </w:rPr>
        <w:t>(xii)</w:t>
      </w:r>
      <w:r w:rsidRPr="003A3076">
        <w:rPr>
          <w:lang w:val="fr-FR"/>
        </w:rPr>
        <w:tab/>
        <w:t>fournir des informations au Secrétaire exécutif de la COI pour lui permettre de soumettre des rapports aux organes directeurs de la COI ;</w:t>
      </w:r>
    </w:p>
    <w:p w14:paraId="5AEDB77F" w14:textId="649DA055" w:rsidR="005711E1" w:rsidRPr="003A3076" w:rsidRDefault="005711E1" w:rsidP="00B34C37">
      <w:pPr>
        <w:pStyle w:val="COI"/>
        <w:rPr>
          <w:lang w:val="fr-FR"/>
        </w:rPr>
      </w:pPr>
      <w:r w:rsidRPr="003A3076">
        <w:rPr>
          <w:lang w:val="fr-FR"/>
        </w:rPr>
        <w:t>(xiii)</w:t>
      </w:r>
      <w:r w:rsidRPr="003A3076">
        <w:rPr>
          <w:lang w:val="fr-FR"/>
        </w:rPr>
        <w:tab/>
        <w:t>soumettre des rapports, selon les besoins, aux organes directeurs sur les questions stratégiques.</w:t>
      </w:r>
    </w:p>
    <w:p w14:paraId="6CA56B36" w14:textId="77777777" w:rsidR="005711E1" w:rsidRPr="0048603F" w:rsidRDefault="005711E1" w:rsidP="00B34C37">
      <w:pPr>
        <w:spacing w:before="240" w:after="240"/>
        <w:jc w:val="both"/>
        <w:rPr>
          <w:b/>
          <w:bCs/>
        </w:rPr>
      </w:pPr>
      <w:r w:rsidRPr="0048603F">
        <w:rPr>
          <w:b/>
          <w:bCs/>
        </w:rPr>
        <w:t>Présidence du Comité consultatif de la Décennie</w:t>
      </w:r>
    </w:p>
    <w:p w14:paraId="210EDBEC" w14:textId="4F21276B" w:rsidR="005711E1" w:rsidRPr="00EB12B5" w:rsidRDefault="005711E1" w:rsidP="00B34C37">
      <w:pPr>
        <w:spacing w:before="240" w:after="240"/>
        <w:jc w:val="both"/>
      </w:pPr>
      <w:r w:rsidRPr="00EB12B5">
        <w:t>Le Comité consultatif de la Décennie désigne deux co</w:t>
      </w:r>
      <w:r w:rsidR="00156AF5">
        <w:t>-</w:t>
      </w:r>
      <w:r w:rsidRPr="00EB12B5">
        <w:t>présidents parmi ses membres, idéalement un représentant des domaines scientifiques et un représentant des utilisateurs finaux de la Décennie au sein de la société.</w:t>
      </w:r>
      <w:r w:rsidRPr="00EB12B5">
        <w:rPr>
          <w:color w:val="333333"/>
          <w:sz w:val="30"/>
          <w:szCs w:val="30"/>
          <w:shd w:val="clear" w:color="auto" w:fill="FFFFFF"/>
        </w:rPr>
        <w:t xml:space="preserve"> </w:t>
      </w:r>
      <w:r w:rsidRPr="00EB12B5">
        <w:t>Les co</w:t>
      </w:r>
      <w:r w:rsidR="00156AF5">
        <w:t>-</w:t>
      </w:r>
      <w:r w:rsidRPr="00EB12B5">
        <w:t xml:space="preserve">présidents sont nommés par le </w:t>
      </w:r>
      <w:r>
        <w:t>S</w:t>
      </w:r>
      <w:r w:rsidRPr="00EB12B5">
        <w:t xml:space="preserve">ecrétaire exécutif de la COI pour une durée d’un an, avec possibilité </w:t>
      </w:r>
      <w:r>
        <w:t>d’exercer</w:t>
      </w:r>
      <w:r w:rsidRPr="00EB12B5">
        <w:t xml:space="preserve"> un second mandat d’un an.</w:t>
      </w:r>
    </w:p>
    <w:p w14:paraId="5217B663" w14:textId="77777777" w:rsidR="005711E1" w:rsidRPr="0048603F" w:rsidRDefault="005711E1" w:rsidP="005711E1">
      <w:pPr>
        <w:spacing w:before="240" w:after="240"/>
        <w:jc w:val="both"/>
        <w:rPr>
          <w:b/>
          <w:bCs/>
        </w:rPr>
      </w:pPr>
      <w:r w:rsidRPr="0048603F">
        <w:rPr>
          <w:b/>
          <w:bCs/>
        </w:rPr>
        <w:t>Processus décisionnel et organisation du travail</w:t>
      </w:r>
    </w:p>
    <w:p w14:paraId="72BCE301" w14:textId="7024C662" w:rsidR="005711E1" w:rsidRPr="00EB12B5" w:rsidRDefault="005711E1" w:rsidP="005711E1">
      <w:pPr>
        <w:spacing w:before="240" w:after="240"/>
        <w:jc w:val="both"/>
      </w:pPr>
      <w:r w:rsidRPr="00EB12B5">
        <w:t xml:space="preserve">Le Comité consultatif de la Décennie s’efforce de </w:t>
      </w:r>
      <w:r>
        <w:t>parvenir</w:t>
      </w:r>
      <w:r w:rsidRPr="00EB12B5">
        <w:t xml:space="preserve"> à un consensus sur toutes les questions </w:t>
      </w:r>
      <w:r>
        <w:t>lorsqu’il fournit</w:t>
      </w:r>
      <w:r w:rsidRPr="00EB12B5">
        <w:t xml:space="preserve"> des recommandations et des conseils au </w:t>
      </w:r>
      <w:r>
        <w:t>S</w:t>
      </w:r>
      <w:r w:rsidRPr="00EB12B5">
        <w:t>ecrétaire exécutif de la COI.</w:t>
      </w:r>
      <w:r w:rsidRPr="00EB12B5">
        <w:rPr>
          <w:color w:val="333333"/>
          <w:sz w:val="30"/>
          <w:szCs w:val="30"/>
          <w:shd w:val="clear" w:color="auto" w:fill="FFFFFF"/>
        </w:rPr>
        <w:t xml:space="preserve"> </w:t>
      </w:r>
      <w:r w:rsidRPr="00EB12B5">
        <w:t>Le compte</w:t>
      </w:r>
      <w:r w:rsidR="00156AF5">
        <w:noBreakHyphen/>
      </w:r>
      <w:r w:rsidRPr="00EB12B5">
        <w:t>rendu de la réunion f</w:t>
      </w:r>
      <w:r>
        <w:t>ait</w:t>
      </w:r>
      <w:r w:rsidRPr="00EB12B5">
        <w:t xml:space="preserve"> état de tous les cas où un consensus n’a pas pu être trouvé. </w:t>
      </w:r>
    </w:p>
    <w:p w14:paraId="535DA4E8" w14:textId="77777777" w:rsidR="005711E1" w:rsidRPr="00EB12B5" w:rsidRDefault="005711E1" w:rsidP="005711E1">
      <w:pPr>
        <w:spacing w:before="240" w:after="240"/>
        <w:jc w:val="both"/>
      </w:pPr>
      <w:r w:rsidRPr="00EB12B5">
        <w:t xml:space="preserve">La langue de travail du Comité </w:t>
      </w:r>
      <w:r>
        <w:t>est</w:t>
      </w:r>
      <w:r w:rsidRPr="00EB12B5">
        <w:t xml:space="preserve"> l’anglais. Aucun service d’interprétation </w:t>
      </w:r>
      <w:r>
        <w:t>n’est assuré</w:t>
      </w:r>
      <w:r w:rsidRPr="00EB12B5">
        <w:t xml:space="preserve">. </w:t>
      </w:r>
    </w:p>
    <w:p w14:paraId="4A8C48C0" w14:textId="77777777" w:rsidR="005711E1" w:rsidRPr="0060724B" w:rsidRDefault="005711E1" w:rsidP="00156AF5">
      <w:pPr>
        <w:keepNext/>
        <w:keepLines/>
        <w:spacing w:before="240" w:after="240"/>
        <w:jc w:val="both"/>
      </w:pPr>
      <w:r w:rsidRPr="0048603F">
        <w:rPr>
          <w:b/>
          <w:bCs/>
        </w:rPr>
        <w:t>Composition du Comité consultatif de la Décenni</w:t>
      </w:r>
      <w:r w:rsidRPr="0060724B">
        <w:t>e</w:t>
      </w:r>
    </w:p>
    <w:p w14:paraId="02CFB9E2" w14:textId="77777777" w:rsidR="005711E1" w:rsidRPr="00BB5AE1" w:rsidRDefault="005711E1" w:rsidP="005711E1">
      <w:pPr>
        <w:spacing w:before="240" w:after="240"/>
        <w:jc w:val="both"/>
      </w:pPr>
      <w:r w:rsidRPr="0060724B">
        <w:t xml:space="preserve">Le Comité consultatif de la Décennie compte jusqu’à 15 membres experts siégeant à titre individuel, issus de gouvernements, du secteur privé, d’organismes philanthropiques, de la société civile et de la communauté scientifique, ainsi que des représentants </w:t>
      </w:r>
      <w:r>
        <w:t>d’organismes</w:t>
      </w:r>
      <w:r w:rsidRPr="0060724B">
        <w:t xml:space="preserve"> des Nations </w:t>
      </w:r>
      <w:r>
        <w:t>U</w:t>
      </w:r>
      <w:r w:rsidRPr="0060724B">
        <w:t xml:space="preserve">nies. </w:t>
      </w:r>
      <w:r w:rsidRPr="008A755A">
        <w:t>Au total, le Comité consultatif de la Décennie ne d</w:t>
      </w:r>
      <w:r>
        <w:t>oit</w:t>
      </w:r>
      <w:r w:rsidRPr="008A755A">
        <w:t xml:space="preserve"> pas dépasser 2</w:t>
      </w:r>
      <w:r>
        <w:t>5</w:t>
      </w:r>
      <w:r w:rsidRPr="008A755A">
        <w:t xml:space="preserve"> membres – membres experts et représentants des Nations </w:t>
      </w:r>
      <w:r>
        <w:t>U</w:t>
      </w:r>
      <w:r w:rsidRPr="008A755A">
        <w:t>nies compris.</w:t>
      </w:r>
      <w:r w:rsidRPr="00BB5AE1">
        <w:rPr>
          <w:color w:val="333333"/>
          <w:sz w:val="29"/>
          <w:szCs w:val="29"/>
          <w:shd w:val="clear" w:color="auto" w:fill="FFFFFF"/>
        </w:rPr>
        <w:t xml:space="preserve"> </w:t>
      </w:r>
      <w:r w:rsidRPr="00BB5AE1">
        <w:t xml:space="preserve">Tous les membres du Comité consultatif de la Décennie ont le même statut, le même rôle et les mêmes responsabilités, </w:t>
      </w:r>
      <w:r w:rsidRPr="00A01F5B">
        <w:t>sauf indication contraire ci-après</w:t>
      </w:r>
      <w:r w:rsidRPr="00BB5AE1">
        <w:t>.</w:t>
      </w:r>
    </w:p>
    <w:p w14:paraId="761AB531" w14:textId="77777777" w:rsidR="005711E1" w:rsidRPr="0048603F" w:rsidRDefault="005711E1" w:rsidP="005711E1">
      <w:pPr>
        <w:spacing w:before="240" w:after="240"/>
        <w:jc w:val="both"/>
        <w:rPr>
          <w:i/>
          <w:iCs/>
          <w:u w:val="single"/>
        </w:rPr>
      </w:pPr>
      <w:r w:rsidRPr="0048603F">
        <w:rPr>
          <w:i/>
          <w:iCs/>
          <w:u w:val="single"/>
        </w:rPr>
        <w:t>Membres experts</w:t>
      </w:r>
    </w:p>
    <w:p w14:paraId="79A60B71" w14:textId="77777777" w:rsidR="005711E1" w:rsidRPr="00BB5AE1" w:rsidRDefault="005711E1" w:rsidP="005711E1">
      <w:pPr>
        <w:spacing w:before="240" w:after="240"/>
        <w:jc w:val="both"/>
      </w:pPr>
      <w:r w:rsidRPr="00BB5AE1">
        <w:t>Les membres experts sont désignés par le biais d’appels à candidatures ouverts.</w:t>
      </w:r>
      <w:r>
        <w:t xml:space="preserve"> </w:t>
      </w:r>
      <w:r w:rsidRPr="00BB5AE1">
        <w:t>Les appels à candidatures sont communiqués par les moyens suivants</w:t>
      </w:r>
      <w:r>
        <w:t> </w:t>
      </w:r>
      <w:r w:rsidRPr="00BB5AE1">
        <w:t>:</w:t>
      </w:r>
    </w:p>
    <w:p w14:paraId="7211DB85" w14:textId="77777777" w:rsidR="005711E1" w:rsidRPr="00F37C0B" w:rsidRDefault="005711E1" w:rsidP="00BF1AA8">
      <w:pPr>
        <w:pStyle w:val="Paragraphedeliste"/>
        <w:numPr>
          <w:ilvl w:val="0"/>
          <w:numId w:val="40"/>
        </w:numPr>
        <w:tabs>
          <w:tab w:val="clear" w:pos="567"/>
        </w:tabs>
        <w:spacing w:after="120"/>
        <w:ind w:left="851" w:hanging="284"/>
        <w:contextualSpacing w:val="0"/>
        <w:jc w:val="both"/>
      </w:pPr>
      <w:r w:rsidRPr="00F37C0B">
        <w:t>États membres de la COI via les lettres circulaires de la COI</w:t>
      </w:r>
      <w:r>
        <w:t> </w:t>
      </w:r>
      <w:r w:rsidRPr="00F37C0B">
        <w:t>;</w:t>
      </w:r>
    </w:p>
    <w:p w14:paraId="321F65B1" w14:textId="77777777" w:rsidR="005711E1" w:rsidRPr="00734B16" w:rsidRDefault="005711E1" w:rsidP="00BF1AA8">
      <w:pPr>
        <w:pStyle w:val="Paragraphedeliste"/>
        <w:numPr>
          <w:ilvl w:val="0"/>
          <w:numId w:val="40"/>
        </w:numPr>
        <w:tabs>
          <w:tab w:val="clear" w:pos="567"/>
        </w:tabs>
        <w:spacing w:after="120"/>
        <w:ind w:left="851" w:hanging="284"/>
        <w:contextualSpacing w:val="0"/>
        <w:jc w:val="both"/>
      </w:pPr>
      <w:r w:rsidRPr="00F37C0B">
        <w:t xml:space="preserve">Organismes des Nations </w:t>
      </w:r>
      <w:r>
        <w:t>U</w:t>
      </w:r>
      <w:r w:rsidRPr="00F37C0B">
        <w:t>nies concernés via ONU-Océans ;</w:t>
      </w:r>
    </w:p>
    <w:p w14:paraId="798D1230" w14:textId="77777777" w:rsidR="005711E1" w:rsidRPr="00F37C0B" w:rsidRDefault="005711E1" w:rsidP="00BF1AA8">
      <w:pPr>
        <w:pStyle w:val="Paragraphedeliste"/>
        <w:numPr>
          <w:ilvl w:val="0"/>
          <w:numId w:val="40"/>
        </w:numPr>
        <w:tabs>
          <w:tab w:val="clear" w:pos="567"/>
        </w:tabs>
        <w:spacing w:after="120"/>
        <w:ind w:left="851" w:hanging="284"/>
        <w:contextualSpacing w:val="0"/>
        <w:jc w:val="both"/>
      </w:pPr>
      <w:r w:rsidRPr="00F37C0B">
        <w:t>Réseaux scientifiques via les mécanismes de communication formels et informels</w:t>
      </w:r>
      <w:r>
        <w:t> ;</w:t>
      </w:r>
    </w:p>
    <w:p w14:paraId="33FFA1F1" w14:textId="77777777" w:rsidR="005711E1" w:rsidRPr="00F37C0B" w:rsidRDefault="005711E1" w:rsidP="00BF1AA8">
      <w:pPr>
        <w:pStyle w:val="Paragraphedeliste"/>
        <w:numPr>
          <w:ilvl w:val="0"/>
          <w:numId w:val="40"/>
        </w:numPr>
        <w:tabs>
          <w:tab w:val="clear" w:pos="567"/>
        </w:tabs>
        <w:spacing w:after="120"/>
        <w:ind w:left="851" w:hanging="284"/>
        <w:contextualSpacing w:val="0"/>
        <w:jc w:val="both"/>
      </w:pPr>
      <w:r w:rsidRPr="00F37C0B">
        <w:t>Réseaux dédiés à l’océan dans les domaines de</w:t>
      </w:r>
      <w:r>
        <w:t>s</w:t>
      </w:r>
      <w:r w:rsidRPr="00F37C0B">
        <w:t xml:space="preserve"> politique</w:t>
      </w:r>
      <w:r>
        <w:t>s</w:t>
      </w:r>
      <w:r w:rsidRPr="00F37C0B">
        <w:t>, des entreprises et du développement durable par le biais d’annonces</w:t>
      </w:r>
      <w:r>
        <w:t> </w:t>
      </w:r>
      <w:r w:rsidRPr="00F37C0B">
        <w:t>;</w:t>
      </w:r>
    </w:p>
    <w:p w14:paraId="70F4609B" w14:textId="77777777" w:rsidR="005711E1" w:rsidRPr="00B34C37" w:rsidRDefault="005711E1" w:rsidP="00BF1AA8">
      <w:pPr>
        <w:pStyle w:val="Paragraphedeliste"/>
        <w:numPr>
          <w:ilvl w:val="0"/>
          <w:numId w:val="40"/>
        </w:numPr>
        <w:tabs>
          <w:tab w:val="clear" w:pos="567"/>
        </w:tabs>
        <w:spacing w:after="240"/>
        <w:ind w:left="851" w:hanging="284"/>
        <w:jc w:val="both"/>
      </w:pPr>
      <w:r w:rsidRPr="00B34C37">
        <w:t>Sites Web de la Décennie et de la COI.</w:t>
      </w:r>
    </w:p>
    <w:p w14:paraId="6A2B1424" w14:textId="77777777" w:rsidR="005711E1" w:rsidRPr="0024218C" w:rsidRDefault="005711E1" w:rsidP="005711E1">
      <w:pPr>
        <w:spacing w:before="240" w:after="240"/>
        <w:jc w:val="both"/>
      </w:pPr>
      <w:r w:rsidRPr="0024218C">
        <w:t xml:space="preserve">Les candidatures peuvent être proposées par </w:t>
      </w:r>
      <w:r>
        <w:t>l</w:t>
      </w:r>
      <w:r w:rsidRPr="0024218C">
        <w:t>es États membres de la COI-UNESCO et des Nations Unies ou des entités des Nations Unies, ainsi que par des organisations intergouvernementales.</w:t>
      </w:r>
      <w:r w:rsidRPr="0024218C">
        <w:rPr>
          <w:rFonts w:ascii="Helvetica" w:hAnsi="Helvetica" w:cs="Helvetica"/>
          <w:color w:val="333333"/>
          <w:sz w:val="27"/>
          <w:szCs w:val="27"/>
          <w:shd w:val="clear" w:color="auto" w:fill="FFFFFF"/>
        </w:rPr>
        <w:t xml:space="preserve"> </w:t>
      </w:r>
      <w:r w:rsidRPr="0024218C">
        <w:t xml:space="preserve">Les auto-candidatures sont également possibles afin d’encourager </w:t>
      </w:r>
      <w:r>
        <w:t>l</w:t>
      </w:r>
      <w:r w:rsidRPr="0024218C">
        <w:t>es candidatures d’entités non gouvernementales.</w:t>
      </w:r>
    </w:p>
    <w:p w14:paraId="11B09068" w14:textId="77777777" w:rsidR="005711E1" w:rsidRPr="00251322" w:rsidRDefault="005711E1" w:rsidP="005711E1">
      <w:pPr>
        <w:spacing w:before="240" w:after="240"/>
        <w:jc w:val="both"/>
      </w:pPr>
      <w:r w:rsidRPr="00251322">
        <w:t>Les membres experts sont sélectionnés en fonction de leur expertise en veillant à respecter une véritable équité géographique, entre les générations ainsi que la parité hommes-femmes. Ils serv</w:t>
      </w:r>
      <w:r>
        <w:t>e</w:t>
      </w:r>
      <w:r w:rsidRPr="00251322">
        <w:t>nt à titre personnel et volontaire.</w:t>
      </w:r>
      <w:r>
        <w:t xml:space="preserve"> </w:t>
      </w:r>
      <w:r w:rsidRPr="00251322">
        <w:t xml:space="preserve">Les membres </w:t>
      </w:r>
      <w:r>
        <w:t>experts</w:t>
      </w:r>
      <w:r w:rsidRPr="00251322">
        <w:t xml:space="preserve"> ne représentent pas leurs institutions ou leurs pays.</w:t>
      </w:r>
      <w:r>
        <w:t xml:space="preserve"> </w:t>
      </w:r>
      <w:r w:rsidRPr="00251322">
        <w:t>Ils doivent être en mesure de consacrer suffisamment de temps au travail au Comité consultatif de la Décennie</w:t>
      </w:r>
      <w:r>
        <w:t>, y compris la participation à la réunion annuelle en présentiel,</w:t>
      </w:r>
      <w:r w:rsidRPr="00251322">
        <w:t xml:space="preserve"> et d</w:t>
      </w:r>
      <w:r>
        <w:t>oive</w:t>
      </w:r>
      <w:r w:rsidRPr="00251322">
        <w:t>nt demander l’autorisation de leur employeur pour participer à ce processus.</w:t>
      </w:r>
      <w:r w:rsidRPr="00251322">
        <w:rPr>
          <w:color w:val="333333"/>
          <w:sz w:val="27"/>
          <w:szCs w:val="27"/>
          <w:shd w:val="clear" w:color="auto" w:fill="FFFFFF"/>
        </w:rPr>
        <w:t xml:space="preserve"> </w:t>
      </w:r>
      <w:r w:rsidRPr="00251322">
        <w:t xml:space="preserve">En fonction du budget disponible, les frais de déplacement </w:t>
      </w:r>
      <w:r>
        <w:t xml:space="preserve">de </w:t>
      </w:r>
      <w:r w:rsidRPr="00251322">
        <w:t xml:space="preserve">certains membres experts liés aux réunions </w:t>
      </w:r>
      <w:r>
        <w:t xml:space="preserve">en présentiel du Comité </w:t>
      </w:r>
      <w:r w:rsidRPr="00251322">
        <w:t>peuvent être pris en charge par l</w:t>
      </w:r>
      <w:r>
        <w:t>’U</w:t>
      </w:r>
      <w:r w:rsidRPr="00251322">
        <w:t xml:space="preserve">nité de coordination de la Décennie. </w:t>
      </w:r>
    </w:p>
    <w:p w14:paraId="3DA0ABC4" w14:textId="77777777" w:rsidR="005711E1" w:rsidRPr="00251322" w:rsidRDefault="005711E1" w:rsidP="005711E1">
      <w:pPr>
        <w:spacing w:before="240" w:after="240"/>
        <w:jc w:val="both"/>
      </w:pPr>
      <w:r w:rsidRPr="00251322">
        <w:t xml:space="preserve">Un groupe de sélection convoqué par le Secrétaire exécutif de la COI et composé du </w:t>
      </w:r>
      <w:r>
        <w:t>P</w:t>
      </w:r>
      <w:r w:rsidRPr="00251322">
        <w:t xml:space="preserve">résident de la COI et de membres élus du Bureau de la COI représentant les cinq groupes électoraux de la COI, avec le soutien technique de l’Unité de coordination de la Décennie, </w:t>
      </w:r>
      <w:r>
        <w:t>est</w:t>
      </w:r>
      <w:r w:rsidRPr="00251322">
        <w:t xml:space="preserve"> chargé de sélectionner les membres </w:t>
      </w:r>
      <w:r>
        <w:t xml:space="preserve">experts </w:t>
      </w:r>
      <w:r w:rsidRPr="00251322">
        <w:t xml:space="preserve">du Comité consultatif de la Décennie.  </w:t>
      </w:r>
    </w:p>
    <w:p w14:paraId="57EA4AB4" w14:textId="77777777" w:rsidR="005711E1" w:rsidRPr="00647357" w:rsidRDefault="005711E1" w:rsidP="005711E1">
      <w:pPr>
        <w:spacing w:before="240" w:after="240"/>
        <w:jc w:val="both"/>
      </w:pPr>
      <w:r w:rsidRPr="00647357">
        <w:t xml:space="preserve">Le groupe de sélection s’assure que les membres </w:t>
      </w:r>
      <w:r>
        <w:t xml:space="preserve">experts </w:t>
      </w:r>
      <w:r w:rsidRPr="00647357">
        <w:t xml:space="preserve">proposés ont suffisamment de compétences, de connaissances, d’influence et d’impartialité en ce qui concerne la vision et les objectifs de la Décennie et qu’ils sont en mesure d’entreprendre le travail </w:t>
      </w:r>
      <w:r>
        <w:t>énoncé</w:t>
      </w:r>
      <w:r w:rsidRPr="00647357">
        <w:t xml:space="preserve"> dans le mandat.</w:t>
      </w:r>
      <w:r w:rsidRPr="00647357">
        <w:rPr>
          <w:color w:val="333333"/>
          <w:sz w:val="29"/>
          <w:szCs w:val="29"/>
          <w:shd w:val="clear" w:color="auto" w:fill="FFFFFF"/>
        </w:rPr>
        <w:t xml:space="preserve"> </w:t>
      </w:r>
      <w:r w:rsidRPr="00647357">
        <w:t>Leurs compétences et leur expertise doivent couvrir au moins l’un des domaines suivants :</w:t>
      </w:r>
    </w:p>
    <w:p w14:paraId="5240C6B0" w14:textId="1985C927" w:rsidR="005711E1" w:rsidRPr="003A3076" w:rsidRDefault="00B34C37" w:rsidP="003E63EE">
      <w:pPr>
        <w:pStyle w:val="COI"/>
        <w:spacing w:after="240"/>
        <w:rPr>
          <w:lang w:val="fr-FR"/>
        </w:rPr>
      </w:pPr>
      <w:r w:rsidRPr="003A3076">
        <w:rPr>
          <w:lang w:val="fr-FR"/>
        </w:rPr>
        <w:t>(i)</w:t>
      </w:r>
      <w:r w:rsidRPr="003A3076">
        <w:rPr>
          <w:lang w:val="fr-FR"/>
        </w:rPr>
        <w:tab/>
      </w:r>
      <w:r w:rsidR="005711E1" w:rsidRPr="003A3076">
        <w:rPr>
          <w:lang w:val="fr-FR"/>
        </w:rPr>
        <w:t>Processus et coordination intergouvernementaux ;</w:t>
      </w:r>
    </w:p>
    <w:p w14:paraId="1A132BFA" w14:textId="3E402A76" w:rsidR="005711E1" w:rsidRPr="003A3076" w:rsidRDefault="00B34C37" w:rsidP="003E63EE">
      <w:pPr>
        <w:pStyle w:val="COI"/>
        <w:spacing w:after="240"/>
        <w:rPr>
          <w:lang w:val="fr-FR"/>
        </w:rPr>
      </w:pPr>
      <w:r w:rsidRPr="003A3076">
        <w:rPr>
          <w:lang w:val="fr-FR"/>
        </w:rPr>
        <w:t>(ii)</w:t>
      </w:r>
      <w:r w:rsidRPr="003A3076">
        <w:rPr>
          <w:lang w:val="fr-FR"/>
        </w:rPr>
        <w:tab/>
      </w:r>
      <w:r w:rsidR="005711E1" w:rsidRPr="003A3076">
        <w:rPr>
          <w:lang w:val="fr-FR"/>
        </w:rPr>
        <w:t>Aspects océaniques du développement durable ;</w:t>
      </w:r>
    </w:p>
    <w:p w14:paraId="6C8AC7B8" w14:textId="30226A14" w:rsidR="005711E1" w:rsidRPr="003A3076" w:rsidRDefault="00B34C37" w:rsidP="003E63EE">
      <w:pPr>
        <w:pStyle w:val="COI"/>
        <w:spacing w:after="240"/>
        <w:rPr>
          <w:lang w:val="fr-FR"/>
        </w:rPr>
      </w:pPr>
      <w:r w:rsidRPr="003A3076">
        <w:rPr>
          <w:lang w:val="fr-FR"/>
        </w:rPr>
        <w:t>(iii)</w:t>
      </w:r>
      <w:r w:rsidRPr="003A3076">
        <w:rPr>
          <w:lang w:val="fr-FR"/>
        </w:rPr>
        <w:tab/>
      </w:r>
      <w:r w:rsidR="005711E1" w:rsidRPr="003A3076">
        <w:rPr>
          <w:lang w:val="fr-FR"/>
        </w:rPr>
        <w:t>Sciences océaniques (dimensions naturelles/sociales) ;</w:t>
      </w:r>
    </w:p>
    <w:p w14:paraId="231CDD00" w14:textId="7476CA9B" w:rsidR="005711E1" w:rsidRPr="003A3076" w:rsidRDefault="00B34C37" w:rsidP="003E63EE">
      <w:pPr>
        <w:pStyle w:val="COI"/>
        <w:spacing w:after="240"/>
        <w:rPr>
          <w:lang w:val="fr-FR"/>
        </w:rPr>
      </w:pPr>
      <w:r w:rsidRPr="003A3076">
        <w:rPr>
          <w:lang w:val="fr-FR"/>
        </w:rPr>
        <w:t>(iv)</w:t>
      </w:r>
      <w:r w:rsidRPr="003A3076">
        <w:rPr>
          <w:lang w:val="fr-FR"/>
        </w:rPr>
        <w:tab/>
      </w:r>
      <w:r w:rsidR="005711E1" w:rsidRPr="003A3076">
        <w:rPr>
          <w:lang w:val="fr-FR"/>
        </w:rPr>
        <w:t>Interface et engagement science-politique/décision/utilisateur final ;</w:t>
      </w:r>
    </w:p>
    <w:p w14:paraId="255705EB" w14:textId="27F8851C" w:rsidR="005711E1" w:rsidRPr="003A3076" w:rsidRDefault="00B34C37" w:rsidP="003E63EE">
      <w:pPr>
        <w:pStyle w:val="COI"/>
        <w:spacing w:after="240"/>
        <w:rPr>
          <w:lang w:val="fr-FR"/>
        </w:rPr>
      </w:pPr>
      <w:r w:rsidRPr="003A3076">
        <w:rPr>
          <w:lang w:val="fr-FR"/>
        </w:rPr>
        <w:t>(v)</w:t>
      </w:r>
      <w:r w:rsidRPr="003A3076">
        <w:rPr>
          <w:lang w:val="fr-FR"/>
        </w:rPr>
        <w:tab/>
      </w:r>
      <w:r w:rsidR="005711E1" w:rsidRPr="003A3076">
        <w:rPr>
          <w:lang w:val="fr-FR"/>
        </w:rPr>
        <w:t>Économie océanique/finances/partenariats ;</w:t>
      </w:r>
    </w:p>
    <w:p w14:paraId="168AD5B3" w14:textId="657541CC" w:rsidR="005711E1" w:rsidRPr="003A3076" w:rsidRDefault="00B34C37" w:rsidP="003E63EE">
      <w:pPr>
        <w:pStyle w:val="COI"/>
        <w:spacing w:after="240"/>
        <w:rPr>
          <w:lang w:val="fr-FR"/>
        </w:rPr>
      </w:pPr>
      <w:r w:rsidRPr="003A3076">
        <w:rPr>
          <w:lang w:val="fr-FR"/>
        </w:rPr>
        <w:t>(vi)</w:t>
      </w:r>
      <w:r w:rsidRPr="003A3076">
        <w:rPr>
          <w:lang w:val="fr-FR"/>
        </w:rPr>
        <w:tab/>
      </w:r>
      <w:r w:rsidR="005711E1" w:rsidRPr="003A3076">
        <w:rPr>
          <w:lang w:val="fr-FR"/>
        </w:rPr>
        <w:t>Mobilisation de ressources et financement des sciences océaniques ;</w:t>
      </w:r>
    </w:p>
    <w:p w14:paraId="6734F8E2" w14:textId="1E342326" w:rsidR="005711E1" w:rsidRPr="003A3076" w:rsidRDefault="00B34C37" w:rsidP="003E63EE">
      <w:pPr>
        <w:pStyle w:val="COI"/>
        <w:spacing w:after="240"/>
        <w:rPr>
          <w:lang w:val="fr-FR"/>
        </w:rPr>
      </w:pPr>
      <w:r w:rsidRPr="003A3076">
        <w:rPr>
          <w:lang w:val="fr-FR"/>
        </w:rPr>
        <w:t>(vii)</w:t>
      </w:r>
      <w:r w:rsidRPr="003A3076">
        <w:rPr>
          <w:lang w:val="fr-FR"/>
        </w:rPr>
        <w:tab/>
      </w:r>
      <w:r w:rsidR="005711E1" w:rsidRPr="003A3076">
        <w:rPr>
          <w:lang w:val="fr-FR"/>
        </w:rPr>
        <w:t>Innovation/développement des technologies et des infrastructures ;</w:t>
      </w:r>
    </w:p>
    <w:p w14:paraId="763CF387" w14:textId="2DF97134" w:rsidR="005711E1" w:rsidRPr="003A3076" w:rsidRDefault="00B34C37" w:rsidP="003E63EE">
      <w:pPr>
        <w:pStyle w:val="COI"/>
        <w:spacing w:after="240"/>
        <w:rPr>
          <w:lang w:val="fr-FR"/>
        </w:rPr>
      </w:pPr>
      <w:r w:rsidRPr="003A3076">
        <w:rPr>
          <w:lang w:val="fr-FR"/>
        </w:rPr>
        <w:t>(viii)</w:t>
      </w:r>
      <w:r w:rsidRPr="003A3076">
        <w:rPr>
          <w:lang w:val="fr-FR"/>
        </w:rPr>
        <w:tab/>
      </w:r>
      <w:r w:rsidR="005711E1" w:rsidRPr="003A3076">
        <w:rPr>
          <w:lang w:val="fr-FR"/>
        </w:rPr>
        <w:t>Développement des capacités, formation et transfert des techniques marines, éducation, communication et sensibilisation</w:t>
      </w:r>
      <w:r w:rsidR="003F1A2A">
        <w:rPr>
          <w:lang w:val="fr-FR"/>
        </w:rPr>
        <w:t> </w:t>
      </w:r>
      <w:r w:rsidR="005711E1" w:rsidRPr="003A3076">
        <w:rPr>
          <w:lang w:val="fr-FR"/>
        </w:rPr>
        <w:t>; et/ou</w:t>
      </w:r>
    </w:p>
    <w:p w14:paraId="1B5784CC" w14:textId="58647A51" w:rsidR="005711E1" w:rsidRPr="003A3076" w:rsidRDefault="00B34C37" w:rsidP="00B34C37">
      <w:pPr>
        <w:pStyle w:val="COI"/>
        <w:rPr>
          <w:b/>
          <w:lang w:val="fr-FR"/>
        </w:rPr>
      </w:pPr>
      <w:r w:rsidRPr="003A3076">
        <w:rPr>
          <w:lang w:val="fr-FR"/>
        </w:rPr>
        <w:t>(ix)</w:t>
      </w:r>
      <w:r w:rsidRPr="003A3076">
        <w:rPr>
          <w:lang w:val="fr-FR"/>
        </w:rPr>
        <w:tab/>
      </w:r>
      <w:r w:rsidR="005711E1" w:rsidRPr="003A3076">
        <w:rPr>
          <w:lang w:val="fr-FR"/>
        </w:rPr>
        <w:t>Développement de programmes ou de projets internationaux multi/interdisciplinaires à grande échelle.</w:t>
      </w:r>
    </w:p>
    <w:p w14:paraId="078E383D" w14:textId="77777777" w:rsidR="005711E1" w:rsidRPr="00751E4E" w:rsidRDefault="005711E1" w:rsidP="005711E1">
      <w:pPr>
        <w:spacing w:before="240" w:after="240"/>
        <w:jc w:val="both"/>
        <w:rPr>
          <w:i/>
          <w:iCs/>
          <w:u w:val="single"/>
        </w:rPr>
      </w:pPr>
      <w:r w:rsidRPr="00751E4E">
        <w:rPr>
          <w:i/>
          <w:iCs/>
          <w:u w:val="single"/>
        </w:rPr>
        <w:t xml:space="preserve">Représentation des organismes des Nations Unies au Comité consultatif de la Décennie </w:t>
      </w:r>
    </w:p>
    <w:p w14:paraId="7610437D" w14:textId="77777777" w:rsidR="005711E1" w:rsidRPr="00CA78D8" w:rsidRDefault="005711E1" w:rsidP="005711E1">
      <w:pPr>
        <w:spacing w:before="240" w:after="240"/>
        <w:jc w:val="both"/>
      </w:pPr>
      <w:r w:rsidRPr="00CA78D8">
        <w:t xml:space="preserve">Les </w:t>
      </w:r>
      <w:r>
        <w:t>organism</w:t>
      </w:r>
      <w:r w:rsidRPr="00CA78D8">
        <w:t xml:space="preserve">es des Nations </w:t>
      </w:r>
      <w:r>
        <w:t>U</w:t>
      </w:r>
      <w:r w:rsidRPr="00CA78D8">
        <w:t xml:space="preserve">nies sont représentés au </w:t>
      </w:r>
      <w:r>
        <w:t>Comité</w:t>
      </w:r>
      <w:r w:rsidRPr="00CA78D8">
        <w:t xml:space="preserve"> à titre institutionnel.</w:t>
      </w:r>
      <w:r w:rsidRPr="00CA78D8">
        <w:rPr>
          <w:color w:val="333333"/>
          <w:sz w:val="29"/>
          <w:szCs w:val="29"/>
          <w:shd w:val="clear" w:color="auto" w:fill="FFFFFF"/>
        </w:rPr>
        <w:t xml:space="preserve"> </w:t>
      </w:r>
      <w:r w:rsidRPr="00CA78D8">
        <w:t xml:space="preserve">La Division des affaires maritimes et du droit de la mer du Bureau des affaires juridiques de l’Organisation des Nations Unies (DOALOS), qui est le secrétariat et le point de contact d’ONU-Océans et de la Convention des Nations </w:t>
      </w:r>
      <w:r>
        <w:t>U</w:t>
      </w:r>
      <w:r w:rsidRPr="00CA78D8">
        <w:t>nies sur le droit de la mer, dispose d’un siège permanent au sein du Comité consultatif de la Décennie. Le Secrétariat de la COI, en tant que coord</w:t>
      </w:r>
      <w:r>
        <w:t>o</w:t>
      </w:r>
      <w:r w:rsidRPr="00CA78D8">
        <w:t>nnateur de la Décennie, dispose également d’un siège permanent au Comité.</w:t>
      </w:r>
      <w:r>
        <w:t xml:space="preserve"> </w:t>
      </w:r>
      <w:r w:rsidRPr="00CA78D8">
        <w:t xml:space="preserve">Des sièges supplémentaires sont réservés aux </w:t>
      </w:r>
      <w:r>
        <w:t>organism</w:t>
      </w:r>
      <w:r w:rsidRPr="00CA78D8">
        <w:t xml:space="preserve">es des Nations </w:t>
      </w:r>
      <w:r>
        <w:t>U</w:t>
      </w:r>
      <w:r w:rsidRPr="00CA78D8">
        <w:t xml:space="preserve">nies qui ont exprimé le souhait de </w:t>
      </w:r>
      <w:r>
        <w:t>faire partie du Comité</w:t>
      </w:r>
      <w:r w:rsidRPr="00CA78D8">
        <w:t xml:space="preserve"> et qui sont identifiées lors de consultations </w:t>
      </w:r>
      <w:r>
        <w:t>biennales</w:t>
      </w:r>
      <w:r w:rsidRPr="00CA78D8">
        <w:t xml:space="preserve"> par l</w:t>
      </w:r>
      <w:r>
        <w:t>’</w:t>
      </w:r>
      <w:r w:rsidRPr="00CA78D8">
        <w:t xml:space="preserve">intermédiaire </w:t>
      </w:r>
      <w:r>
        <w:t>d’</w:t>
      </w:r>
      <w:r w:rsidRPr="00CA78D8">
        <w:t>ONU-Océans.</w:t>
      </w:r>
      <w:r w:rsidRPr="00CA78D8">
        <w:rPr>
          <w:color w:val="333333"/>
          <w:sz w:val="27"/>
          <w:szCs w:val="27"/>
          <w:shd w:val="clear" w:color="auto" w:fill="FFFFFF"/>
        </w:rPr>
        <w:t xml:space="preserve"> </w:t>
      </w:r>
      <w:r w:rsidRPr="00CA78D8">
        <w:t xml:space="preserve">Les </w:t>
      </w:r>
      <w:r>
        <w:t>organism</w:t>
      </w:r>
      <w:r w:rsidRPr="00CA78D8">
        <w:t xml:space="preserve">es des Nations </w:t>
      </w:r>
      <w:r>
        <w:t>U</w:t>
      </w:r>
      <w:r w:rsidRPr="00CA78D8">
        <w:t xml:space="preserve">nies sont censés financer </w:t>
      </w:r>
      <w:r>
        <w:t>eux</w:t>
      </w:r>
      <w:r w:rsidRPr="00CA78D8">
        <w:t xml:space="preserve">-mêmes leur participation au </w:t>
      </w:r>
      <w:r>
        <w:t>Comité</w:t>
      </w:r>
      <w:r w:rsidRPr="00CA78D8">
        <w:t>.</w:t>
      </w:r>
    </w:p>
    <w:p w14:paraId="68FA0F9D" w14:textId="77777777" w:rsidR="005711E1" w:rsidRPr="009438DD" w:rsidRDefault="005711E1" w:rsidP="005711E1">
      <w:pPr>
        <w:spacing w:before="240" w:after="240"/>
        <w:jc w:val="both"/>
        <w:rPr>
          <w:b/>
          <w:bCs/>
        </w:rPr>
      </w:pPr>
      <w:r w:rsidRPr="009438DD">
        <w:rPr>
          <w:b/>
          <w:bCs/>
        </w:rPr>
        <w:t>Sélection et durée du mandat des membres</w:t>
      </w:r>
    </w:p>
    <w:p w14:paraId="5C35E7F4" w14:textId="4C177C7E" w:rsidR="005711E1" w:rsidRPr="00F800CB" w:rsidRDefault="005711E1" w:rsidP="005711E1">
      <w:pPr>
        <w:spacing w:before="240" w:after="240"/>
        <w:jc w:val="both"/>
      </w:pPr>
      <w:r w:rsidRPr="00F800CB">
        <w:t xml:space="preserve">Les membres </w:t>
      </w:r>
      <w:r>
        <w:t xml:space="preserve">experts </w:t>
      </w:r>
      <w:r w:rsidRPr="00F800CB">
        <w:t>du Comité consultatif de la Décennie sont nommés pour un mandat de deux ans, renouvelable pour un second mandat. Les mandats des membres sont échelonnés de façon à assurer l’échange d’informations et le mentorat entre les membres actuels et nouveaux du Comité.</w:t>
      </w:r>
      <w:r>
        <w:t xml:space="preserve"> </w:t>
      </w:r>
      <w:r w:rsidRPr="00F800CB">
        <w:t>Les procédures opérationnelles de ce processus sont définies avec le Comité et ses co</w:t>
      </w:r>
      <w:r w:rsidR="003F1A2A">
        <w:noBreakHyphen/>
      </w:r>
      <w:r w:rsidRPr="00F800CB">
        <w:t>présidents.</w:t>
      </w:r>
      <w:r w:rsidRPr="003C123F">
        <w:rPr>
          <w:color w:val="333333"/>
          <w:sz w:val="27"/>
          <w:szCs w:val="27"/>
          <w:shd w:val="clear" w:color="auto" w:fill="FFFFFF"/>
        </w:rPr>
        <w:t xml:space="preserve"> </w:t>
      </w:r>
      <w:r w:rsidRPr="003C123F">
        <w:t xml:space="preserve">Les membres </w:t>
      </w:r>
      <w:r>
        <w:t xml:space="preserve">issus d’organismes </w:t>
      </w:r>
      <w:r w:rsidRPr="003C123F">
        <w:t xml:space="preserve">des Nations </w:t>
      </w:r>
      <w:r>
        <w:t>U</w:t>
      </w:r>
      <w:r w:rsidRPr="003C123F">
        <w:t>nies sont identifiés par le biais d</w:t>
      </w:r>
      <w:r>
        <w:t>’</w:t>
      </w:r>
      <w:r w:rsidRPr="003C123F">
        <w:t>un appel à manifestation d</w:t>
      </w:r>
      <w:r>
        <w:t>’</w:t>
      </w:r>
      <w:r w:rsidRPr="003C123F">
        <w:t>intérêt bi</w:t>
      </w:r>
      <w:r>
        <w:t>ennal</w:t>
      </w:r>
      <w:r w:rsidRPr="003C123F">
        <w:t>, conformément aux procédures établies avec ONU-Océans.</w:t>
      </w:r>
    </w:p>
    <w:p w14:paraId="1B106764" w14:textId="77777777" w:rsidR="005711E1" w:rsidRPr="006E44E0" w:rsidRDefault="005711E1" w:rsidP="005711E1">
      <w:pPr>
        <w:spacing w:before="240" w:after="240"/>
        <w:jc w:val="both"/>
      </w:pPr>
      <w:r w:rsidRPr="006E44E0">
        <w:t xml:space="preserve">Chaque </w:t>
      </w:r>
      <w:r>
        <w:t>m</w:t>
      </w:r>
      <w:r w:rsidRPr="006E44E0">
        <w:t xml:space="preserve">embre doit se conformer aux directives relatives aux conflits d’intérêts </w:t>
      </w:r>
      <w:r>
        <w:t>établies</w:t>
      </w:r>
      <w:r w:rsidRPr="006E44E0">
        <w:t xml:space="preserve"> par le Secrétariat et informer l’Unité de coordination de la Décennie de tout conflit potentiel.</w:t>
      </w:r>
    </w:p>
    <w:p w14:paraId="5F5B2272" w14:textId="77777777" w:rsidR="005711E1" w:rsidRPr="009438DD" w:rsidRDefault="005711E1" w:rsidP="005711E1">
      <w:pPr>
        <w:spacing w:before="240" w:after="240"/>
        <w:jc w:val="both"/>
        <w:rPr>
          <w:b/>
          <w:bCs/>
        </w:rPr>
      </w:pPr>
      <w:r w:rsidRPr="009438DD">
        <w:rPr>
          <w:b/>
          <w:bCs/>
        </w:rPr>
        <w:t>Secrétariat du Comité consultatif de la Décennie</w:t>
      </w:r>
    </w:p>
    <w:p w14:paraId="46455551" w14:textId="77777777" w:rsidR="005711E1" w:rsidRPr="006847F6" w:rsidRDefault="005711E1" w:rsidP="005711E1">
      <w:pPr>
        <w:spacing w:before="240" w:after="240"/>
        <w:jc w:val="both"/>
      </w:pPr>
      <w:r w:rsidRPr="006847F6">
        <w:t xml:space="preserve">L’Unité de coordination de la Décennie, située au sein du Secrétariat de la COI, </w:t>
      </w:r>
      <w:r>
        <w:t>assure</w:t>
      </w:r>
      <w:r w:rsidRPr="006847F6">
        <w:t xml:space="preserve"> le Secrétariat du Comité consultatif de la Décennie.</w:t>
      </w:r>
    </w:p>
    <w:p w14:paraId="6CE6DF76" w14:textId="77777777" w:rsidR="005711E1" w:rsidRPr="009438DD" w:rsidRDefault="005711E1" w:rsidP="005711E1">
      <w:pPr>
        <w:spacing w:before="240" w:after="240"/>
        <w:jc w:val="both"/>
        <w:rPr>
          <w:b/>
          <w:bCs/>
        </w:rPr>
      </w:pPr>
      <w:r w:rsidRPr="009438DD">
        <w:rPr>
          <w:b/>
          <w:bCs/>
        </w:rPr>
        <w:t>Réunions du Comité consultatif de la Décennie</w:t>
      </w:r>
    </w:p>
    <w:p w14:paraId="7017A64E" w14:textId="3C0FD134" w:rsidR="005711E1" w:rsidRPr="00D401D0" w:rsidRDefault="005711E1" w:rsidP="005711E1">
      <w:pPr>
        <w:spacing w:before="240" w:after="240"/>
        <w:jc w:val="both"/>
      </w:pPr>
      <w:r w:rsidRPr="00D401D0">
        <w:t xml:space="preserve">Le Comité consultatif de la Décennie se réunit quatre (4) fois par an, </w:t>
      </w:r>
      <w:r>
        <w:t>dont</w:t>
      </w:r>
      <w:r w:rsidRPr="00D401D0">
        <w:t xml:space="preserve"> au moins une (1) réunion </w:t>
      </w:r>
      <w:r>
        <w:t>en présentiel</w:t>
      </w:r>
      <w:r w:rsidRPr="00D401D0">
        <w:t xml:space="preserve"> par an lorsque cela est possible.</w:t>
      </w:r>
      <w:r w:rsidRPr="00D401D0">
        <w:rPr>
          <w:color w:val="333333"/>
          <w:sz w:val="29"/>
          <w:szCs w:val="29"/>
          <w:shd w:val="clear" w:color="auto" w:fill="FFFFFF"/>
        </w:rPr>
        <w:t xml:space="preserve"> </w:t>
      </w:r>
      <w:r w:rsidRPr="00D401D0">
        <w:t xml:space="preserve">Des réunions supplémentaires en </w:t>
      </w:r>
      <w:r>
        <w:t>présentiel</w:t>
      </w:r>
      <w:r w:rsidRPr="00D401D0">
        <w:t xml:space="preserve"> ou virtuelles sont organisées si nécessaire.</w:t>
      </w:r>
      <w:r>
        <w:t xml:space="preserve"> </w:t>
      </w:r>
      <w:r w:rsidRPr="00D401D0">
        <w:t>L</w:t>
      </w:r>
      <w:r>
        <w:t>’</w:t>
      </w:r>
      <w:r w:rsidRPr="00D401D0">
        <w:t xml:space="preserve">ordre du jour des réunions </w:t>
      </w:r>
      <w:r>
        <w:t>est</w:t>
      </w:r>
      <w:r w:rsidRPr="00D401D0">
        <w:t xml:space="preserve"> établi conjointement par les membres du </w:t>
      </w:r>
      <w:r>
        <w:t>Comité</w:t>
      </w:r>
      <w:r w:rsidRPr="00D401D0">
        <w:t xml:space="preserve"> sous la </w:t>
      </w:r>
      <w:r>
        <w:t>conduite</w:t>
      </w:r>
      <w:r w:rsidRPr="00D401D0">
        <w:t xml:space="preserve"> des co</w:t>
      </w:r>
      <w:r w:rsidR="003F1A2A">
        <w:t>-</w:t>
      </w:r>
      <w:r w:rsidRPr="00D401D0">
        <w:t xml:space="preserve">présidents et avec </w:t>
      </w:r>
      <w:r>
        <w:t>l’appui</w:t>
      </w:r>
      <w:r w:rsidRPr="00D401D0">
        <w:t xml:space="preserve"> de l</w:t>
      </w:r>
      <w:r>
        <w:t>’U</w:t>
      </w:r>
      <w:r w:rsidRPr="00D401D0">
        <w:t>nité de coordination de la Décennie. L</w:t>
      </w:r>
      <w:r>
        <w:t>’</w:t>
      </w:r>
      <w:r w:rsidRPr="00D401D0">
        <w:t>ordre du jour doit inclure les résultats et les décisions attendus pour chaque réunion, ainsi que toute tâche ou documentation préalable à la réunion pour les membres.</w:t>
      </w:r>
    </w:p>
    <w:p w14:paraId="5653E2AA" w14:textId="77777777" w:rsidR="005711E1" w:rsidRPr="00D60459" w:rsidRDefault="005711E1" w:rsidP="005711E1">
      <w:pPr>
        <w:spacing w:before="240" w:after="240"/>
        <w:jc w:val="both"/>
      </w:pPr>
      <w:r w:rsidRPr="00D60459">
        <w:t>Le Comité consultatif de la Décennie peut inviter des experts ext</w:t>
      </w:r>
      <w:r>
        <w:t xml:space="preserve">érieurs ou établir des groupes de travail </w:t>
      </w:r>
      <w:r w:rsidRPr="00D60459">
        <w:rPr>
          <w:i/>
          <w:iCs/>
        </w:rPr>
        <w:t>ad hoc</w:t>
      </w:r>
      <w:r w:rsidRPr="00D60459">
        <w:t xml:space="preserve"> si nécessaire pour traiter des questions spécifiques. La décision d’inviter ces experts extérieur ou</w:t>
      </w:r>
      <w:r>
        <w:t xml:space="preserve"> d’établir de tels groupes</w:t>
      </w:r>
      <w:r w:rsidRPr="00D60459">
        <w:t xml:space="preserve"> revien</w:t>
      </w:r>
      <w:r>
        <w:t>t</w:t>
      </w:r>
      <w:r w:rsidRPr="00D60459">
        <w:t xml:space="preserve"> au Comité.</w:t>
      </w:r>
    </w:p>
    <w:p w14:paraId="6B2B75FD" w14:textId="77777777" w:rsidR="005711E1" w:rsidRPr="00D60459" w:rsidRDefault="005711E1" w:rsidP="005711E1">
      <w:pPr>
        <w:spacing w:before="240" w:after="240"/>
        <w:jc w:val="both"/>
      </w:pPr>
      <w:r w:rsidRPr="00D60459">
        <w:t>Les comptes-rendus des réunions du Comité sont élaborés et communiqués par le Secrétariat pour le Comité consultatif de la Décennie.</w:t>
      </w:r>
      <w:r w:rsidRPr="00D60459">
        <w:rPr>
          <w:color w:val="333333"/>
          <w:sz w:val="29"/>
          <w:szCs w:val="29"/>
          <w:shd w:val="clear" w:color="auto" w:fill="FFFFFF"/>
        </w:rPr>
        <w:t xml:space="preserve"> </w:t>
      </w:r>
      <w:r w:rsidRPr="00D60459">
        <w:t xml:space="preserve">Ceux-ci seront mis à la disposition du public sur le site Web de la Décennie. </w:t>
      </w:r>
    </w:p>
    <w:p w14:paraId="7D5A49C4" w14:textId="77777777" w:rsidR="005711E1" w:rsidRPr="00D60459" w:rsidRDefault="005711E1" w:rsidP="005711E1">
      <w:pPr>
        <w:spacing w:before="240" w:after="240"/>
        <w:jc w:val="both"/>
      </w:pPr>
      <w:r w:rsidRPr="00D60459">
        <w:t xml:space="preserve">Les membres experts du </w:t>
      </w:r>
      <w:r>
        <w:t>C</w:t>
      </w:r>
      <w:r w:rsidRPr="00D60459">
        <w:t>omité consultatif de la Décennie doivent assister eux-mêmes aux réunions</w:t>
      </w:r>
      <w:r>
        <w:t>,</w:t>
      </w:r>
      <w:r w:rsidRPr="00D60459">
        <w:t xml:space="preserve"> sans </w:t>
      </w:r>
      <w:r>
        <w:t>se faire</w:t>
      </w:r>
      <w:r w:rsidRPr="00D60459">
        <w:t xml:space="preserve"> remplac</w:t>
      </w:r>
      <w:r>
        <w:t>er</w:t>
      </w:r>
      <w:r w:rsidRPr="00D60459">
        <w:t>.</w:t>
      </w:r>
      <w:r>
        <w:t xml:space="preserve"> </w:t>
      </w:r>
      <w:r w:rsidRPr="00D60459">
        <w:t xml:space="preserve">Les </w:t>
      </w:r>
      <w:r>
        <w:t>organism</w:t>
      </w:r>
      <w:r w:rsidRPr="00D60459">
        <w:t xml:space="preserve">es des Nations </w:t>
      </w:r>
      <w:r>
        <w:t>U</w:t>
      </w:r>
      <w:r w:rsidRPr="00D60459">
        <w:t>nies peuvent changer le représentant institutionnel qu</w:t>
      </w:r>
      <w:r>
        <w:t>’il</w:t>
      </w:r>
      <w:r w:rsidRPr="00D60459">
        <w:t xml:space="preserve">s ont désigné en </w:t>
      </w:r>
      <w:r>
        <w:t>avertissant au préalable</w:t>
      </w:r>
      <w:r w:rsidRPr="00D60459">
        <w:t xml:space="preserve"> l</w:t>
      </w:r>
      <w:r>
        <w:t>’U</w:t>
      </w:r>
      <w:r w:rsidRPr="00D60459">
        <w:t>nité de coordination de la Décennie</w:t>
      </w:r>
      <w:r>
        <w:t xml:space="preserve"> par courrier électronique</w:t>
      </w:r>
      <w:r w:rsidRPr="00D60459">
        <w:t xml:space="preserve">. </w:t>
      </w:r>
    </w:p>
    <w:p w14:paraId="573B6396" w14:textId="27AC2E7A" w:rsidR="00A82923" w:rsidRPr="00B34C37" w:rsidRDefault="005711E1" w:rsidP="001B4535">
      <w:pPr>
        <w:keepNext/>
        <w:keepLines/>
        <w:spacing w:before="240" w:after="240"/>
        <w:jc w:val="both"/>
      </w:pPr>
      <w:r w:rsidRPr="00894E8F">
        <w:t xml:space="preserve">Le </w:t>
      </w:r>
      <w:r>
        <w:t>S</w:t>
      </w:r>
      <w:r w:rsidRPr="00894E8F">
        <w:t xml:space="preserve">ecrétaire exécutif se réserve le droit de révoquer et de remplacer les membres experts qui </w:t>
      </w:r>
      <w:r>
        <w:t>n’assistent</w:t>
      </w:r>
      <w:r w:rsidRPr="00894E8F">
        <w:t xml:space="preserve"> pas régulièrement aux réunions en ligne ou en </w:t>
      </w:r>
      <w:r>
        <w:t>présentiel</w:t>
      </w:r>
      <w:r w:rsidRPr="00894E8F">
        <w:t>.</w:t>
      </w:r>
      <w:r w:rsidRPr="00894E8F">
        <w:rPr>
          <w:color w:val="333333"/>
          <w:sz w:val="27"/>
          <w:szCs w:val="27"/>
          <w:shd w:val="clear" w:color="auto" w:fill="FFFFFF"/>
        </w:rPr>
        <w:t xml:space="preserve"> </w:t>
      </w:r>
      <w:r w:rsidRPr="00894E8F">
        <w:t xml:space="preserve">Tout remplacement de </w:t>
      </w:r>
      <w:r w:rsidRPr="00894E8F">
        <w:lastRenderedPageBreak/>
        <w:t>membre</w:t>
      </w:r>
      <w:r>
        <w:t>s</w:t>
      </w:r>
      <w:r w:rsidRPr="00894E8F">
        <w:t xml:space="preserve"> expert</w:t>
      </w:r>
      <w:r>
        <w:t>s</w:t>
      </w:r>
      <w:r w:rsidRPr="00894E8F">
        <w:t xml:space="preserve"> </w:t>
      </w:r>
      <w:r>
        <w:t>se fait à partir</w:t>
      </w:r>
      <w:r w:rsidRPr="00894E8F">
        <w:t xml:space="preserve"> </w:t>
      </w:r>
      <w:r>
        <w:t>de</w:t>
      </w:r>
      <w:r w:rsidRPr="00894E8F">
        <w:t xml:space="preserve"> la liste de candidats </w:t>
      </w:r>
      <w:r>
        <w:t xml:space="preserve">précédemment établie </w:t>
      </w:r>
      <w:r w:rsidRPr="00894E8F">
        <w:t>et sui</w:t>
      </w:r>
      <w:r>
        <w:t>t</w:t>
      </w:r>
      <w:r w:rsidRPr="00894E8F">
        <w:t xml:space="preserve"> la même procédure de sélection que celle décrite ci-dessus. </w:t>
      </w:r>
    </w:p>
    <w:sectPr w:rsidR="00A82923" w:rsidRPr="00B34C37" w:rsidSect="005711E1">
      <w:headerReference w:type="even" r:id="rId10"/>
      <w:headerReference w:type="default" r:id="rId11"/>
      <w:footerReference w:type="default" r:id="rId12"/>
      <w:headerReference w:type="first" r:id="rId13"/>
      <w:footerReference w:type="first" r:id="rId14"/>
      <w:type w:val="oddPage"/>
      <w:pgSz w:w="11920" w:h="16840"/>
      <w:pgMar w:top="1152" w:right="1135" w:bottom="1216" w:left="1210" w:header="63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0ABBA" w14:textId="77777777" w:rsidR="00DE2F6D" w:rsidRDefault="00DE2F6D" w:rsidP="00200D03">
      <w:r>
        <w:separator/>
      </w:r>
    </w:p>
  </w:endnote>
  <w:endnote w:type="continuationSeparator" w:id="0">
    <w:p w14:paraId="7702326A" w14:textId="77777777" w:rsidR="00DE2F6D" w:rsidRDefault="00DE2F6D" w:rsidP="002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81A6" w14:textId="2CA36EAC" w:rsidR="002637CA" w:rsidRDefault="00453900">
    <w:pPr>
      <w:pStyle w:val="Pieddepage"/>
    </w:pPr>
    <w:r>
      <w:rPr>
        <w:noProof/>
      </w:rPr>
      <mc:AlternateContent>
        <mc:Choice Requires="wps">
          <w:drawing>
            <wp:anchor distT="45720" distB="45720" distL="114300" distR="114300" simplePos="0" relativeHeight="251667456" behindDoc="0" locked="0" layoutInCell="1" allowOverlap="1" wp14:anchorId="5C8F1676" wp14:editId="628A5274">
              <wp:simplePos x="0" y="0"/>
              <wp:positionH relativeFrom="column">
                <wp:posOffset>8838663</wp:posOffset>
              </wp:positionH>
              <wp:positionV relativeFrom="paragraph">
                <wp:posOffset>-1868462</wp:posOffset>
              </wp:positionV>
              <wp:extent cx="2360930" cy="1404620"/>
              <wp:effectExtent l="2222" t="0" r="3493" b="3492"/>
              <wp:wrapNone/>
              <wp:docPr id="16945736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60930" cy="1404620"/>
                      </a:xfrm>
                      <a:prstGeom prst="rect">
                        <a:avLst/>
                      </a:prstGeom>
                      <a:solidFill>
                        <a:srgbClr val="FFFFFF"/>
                      </a:solidFill>
                      <a:ln w="9525">
                        <a:noFill/>
                        <a:miter lim="800000"/>
                        <a:headEnd/>
                        <a:tailEnd/>
                      </a:ln>
                    </wps:spPr>
                    <wps:txbx>
                      <w:txbxContent>
                        <w:p w14:paraId="3F3D23C5" w14:textId="77777777" w:rsidR="00453900" w:rsidRDefault="00453900" w:rsidP="00453900">
                          <w:r w:rsidRPr="00453900">
                            <w:t xml:space="preserve">IOC/A-33/5.3.Doc(2) – page </w:t>
                          </w:r>
                          <w:r>
                            <w:fldChar w:fldCharType="begin"/>
                          </w:r>
                          <w:r>
                            <w:instrText>PAGE   \* MERGEFORMAT</w:instrText>
                          </w:r>
                          <w:r>
                            <w:fldChar w:fldCharType="separate"/>
                          </w:r>
                          <w:r>
                            <w:t>1</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8F1676" id="_x0000_t202" coordsize="21600,21600" o:spt="202" path="m,l,21600r21600,l21600,xe">
              <v:stroke joinstyle="miter"/>
              <v:path gradientshapeok="t" o:connecttype="rect"/>
            </v:shapetype>
            <v:shape id="_x0000_s1027" type="#_x0000_t202" style="position:absolute;margin-left:695.95pt;margin-top:-147.1pt;width:185.9pt;height:110.6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" stroked="f">
              <v:textbox style="mso-fit-shape-to-text:t">
                <w:txbxContent>
                  <w:p w14:paraId="3F3D23C5" w14:textId="77777777" w:rsidR="00453900" w:rsidRDefault="00453900" w:rsidP="00453900">
                    <w:r w:rsidRPr="00453900">
                      <w:t xml:space="preserve">IOC/A-33/5.3.Doc(2) – page </w:t>
                    </w:r>
                    <w:r>
                      <w:fldChar w:fldCharType="begin"/>
                    </w:r>
                    <w:r>
                      <w:instrText>PAGE   \* MERGEFORMAT</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EC64" w14:textId="400CB818" w:rsidR="0047625D" w:rsidRDefault="00453900">
    <w:pPr>
      <w:pStyle w:val="Pieddepage"/>
    </w:pPr>
    <w:r>
      <w:rPr>
        <w:noProof/>
      </w:rPr>
      <mc:AlternateContent>
        <mc:Choice Requires="wps">
          <w:drawing>
            <wp:anchor distT="45720" distB="45720" distL="114300" distR="114300" simplePos="0" relativeHeight="251663360" behindDoc="0" locked="0" layoutInCell="1" allowOverlap="1" wp14:anchorId="11D60A3B" wp14:editId="1CA21FC7">
              <wp:simplePos x="0" y="0"/>
              <wp:positionH relativeFrom="column">
                <wp:posOffset>8817170</wp:posOffset>
              </wp:positionH>
              <wp:positionV relativeFrom="paragraph">
                <wp:posOffset>-1870709</wp:posOffset>
              </wp:positionV>
              <wp:extent cx="2360930" cy="1404620"/>
              <wp:effectExtent l="2222" t="0" r="3493" b="3492"/>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60930" cy="1404620"/>
                      </a:xfrm>
                      <a:prstGeom prst="rect">
                        <a:avLst/>
                      </a:prstGeom>
                      <a:solidFill>
                        <a:srgbClr val="FFFFFF"/>
                      </a:solidFill>
                      <a:ln w="9525">
                        <a:noFill/>
                        <a:miter lim="800000"/>
                        <a:headEnd/>
                        <a:tailEnd/>
                      </a:ln>
                    </wps:spPr>
                    <wps:txbx>
                      <w:txbxContent>
                        <w:p w14:paraId="111C7A10" w14:textId="3C90BBE7" w:rsidR="00453900" w:rsidRDefault="00453900">
                          <w:r w:rsidRPr="00453900">
                            <w:t xml:space="preserve">IOC/A-33/5.3.Doc(2) – page </w:t>
                          </w:r>
                          <w:r>
                            <w:fldChar w:fldCharType="begin"/>
                          </w:r>
                          <w:r>
                            <w:instrText>PAGE   \* MERGEFORMAT</w:instrText>
                          </w:r>
                          <w:r>
                            <w:fldChar w:fldCharType="separate"/>
                          </w:r>
                          <w:r>
                            <w:t>1</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1D60A3B" id="_x0000_t202" coordsize="21600,21600" o:spt="202" path="m,l,21600r21600,l21600,xe">
              <v:stroke joinstyle="miter"/>
              <v:path gradientshapeok="t" o:connecttype="rect"/>
            </v:shapetype>
            <v:shape id="_x0000_s1028" type="#_x0000_t202" style="position:absolute;margin-left:694.25pt;margin-top:-147.3pt;width:185.9pt;height:110.6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" stroked="f">
              <v:textbox style="mso-fit-shape-to-text:t">
                <w:txbxContent>
                  <w:p w14:paraId="111C7A10" w14:textId="3C90BBE7" w:rsidR="00453900" w:rsidRDefault="00453900">
                    <w:r w:rsidRPr="00453900">
                      <w:t xml:space="preserve">IOC/A-33/5.3.Doc(2) – page </w:t>
                    </w: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BB0F7" w14:textId="77777777" w:rsidR="00DE2F6D" w:rsidRDefault="00DE2F6D" w:rsidP="00200D03">
      <w:r>
        <w:separator/>
      </w:r>
    </w:p>
  </w:footnote>
  <w:footnote w:type="continuationSeparator" w:id="0">
    <w:p w14:paraId="483B16E8" w14:textId="77777777" w:rsidR="00DE2F6D" w:rsidRDefault="00DE2F6D" w:rsidP="00200D03">
      <w:r>
        <w:continuationSeparator/>
      </w:r>
    </w:p>
  </w:footnote>
  <w:footnote w:id="1">
    <w:p w14:paraId="323C1C6E" w14:textId="77777777" w:rsidR="005711E1" w:rsidRPr="006C5773" w:rsidRDefault="005711E1" w:rsidP="00AE77AE">
      <w:pPr>
        <w:ind w:left="567" w:hanging="567"/>
        <w:jc w:val="both"/>
        <w:rPr>
          <w:rFonts w:eastAsia="Arial" w:cs="Arial"/>
          <w:color w:val="000000"/>
          <w:sz w:val="20"/>
          <w:szCs w:val="20"/>
        </w:rPr>
      </w:pPr>
      <w:r>
        <w:rPr>
          <w:vertAlign w:val="superscript"/>
        </w:rPr>
        <w:footnoteRef/>
      </w:r>
      <w:r w:rsidRPr="006C5773">
        <w:rPr>
          <w:rFonts w:eastAsia="Arial" w:cs="Arial"/>
          <w:color w:val="000000"/>
          <w:sz w:val="20"/>
          <w:szCs w:val="20"/>
        </w:rPr>
        <w:tab/>
      </w:r>
      <w:r>
        <w:rPr>
          <w:rFonts w:eastAsia="Arial" w:cs="Arial"/>
          <w:color w:val="000000"/>
          <w:sz w:val="20"/>
          <w:szCs w:val="20"/>
        </w:rPr>
        <w:t>Présenté à</w:t>
      </w:r>
      <w:r w:rsidRPr="006C5773">
        <w:rPr>
          <w:rFonts w:eastAsia="Arial" w:cs="Arial"/>
          <w:color w:val="000000"/>
          <w:sz w:val="20"/>
          <w:szCs w:val="20"/>
        </w:rPr>
        <w:t xml:space="preserve"> l’Assemblée de la COI à sa 3</w:t>
      </w:r>
      <w:r>
        <w:rPr>
          <w:rFonts w:eastAsia="Arial" w:cs="Arial"/>
          <w:color w:val="000000"/>
          <w:sz w:val="20"/>
          <w:szCs w:val="20"/>
        </w:rPr>
        <w:t>3</w:t>
      </w:r>
      <w:r w:rsidRPr="006C5773">
        <w:rPr>
          <w:rFonts w:eastAsia="Arial" w:cs="Arial"/>
          <w:color w:val="000000"/>
          <w:sz w:val="20"/>
          <w:szCs w:val="20"/>
          <w:vertAlign w:val="superscript"/>
        </w:rPr>
        <w:t>e</w:t>
      </w:r>
      <w:r>
        <w:rPr>
          <w:rFonts w:eastAsia="Arial" w:cs="Arial"/>
          <w:color w:val="000000"/>
          <w:sz w:val="20"/>
          <w:szCs w:val="20"/>
        </w:rPr>
        <w:t> </w:t>
      </w:r>
      <w:r w:rsidRPr="006C5773">
        <w:rPr>
          <w:rFonts w:eastAsia="Arial" w:cs="Arial"/>
          <w:color w:val="000000"/>
          <w:sz w:val="20"/>
          <w:szCs w:val="20"/>
        </w:rPr>
        <w:t>session (juin 202</w:t>
      </w:r>
      <w:r>
        <w:rPr>
          <w:rFonts w:eastAsia="Arial" w:cs="Arial"/>
          <w:color w:val="000000"/>
          <w:sz w:val="20"/>
          <w:szCs w:val="20"/>
        </w:rPr>
        <w:t>5</w:t>
      </w:r>
      <w:r w:rsidRPr="006C5773">
        <w:rPr>
          <w:rFonts w:eastAsia="Arial" w:cs="Arial"/>
          <w:color w:val="000000"/>
          <w:sz w:val="20"/>
          <w:szCs w:val="20"/>
        </w:rPr>
        <w:t xml:space="preserve">) </w:t>
      </w:r>
      <w:r>
        <w:rPr>
          <w:rFonts w:eastAsia="Arial" w:cs="Arial"/>
          <w:color w:val="000000"/>
          <w:sz w:val="20"/>
          <w:szCs w:val="20"/>
        </w:rPr>
        <w:t>au titre du Point 4.8 de l’ordre du jour :</w:t>
      </w:r>
      <w:r w:rsidRPr="006C5773">
        <w:rPr>
          <w:rFonts w:eastAsia="Arial" w:cs="Arial"/>
          <w:color w:val="000000"/>
          <w:sz w:val="20"/>
          <w:szCs w:val="20"/>
        </w:rPr>
        <w:t xml:space="preserve"> « Mise en œuvre de la Décennie des Nations Unies pour les sciences océaniques au service du développement durable (2021-2030)</w:t>
      </w:r>
      <w:r>
        <w:rPr>
          <w:rFonts w:eastAsia="Arial" w:cs="Arial"/>
          <w:color w:val="000000"/>
          <w:sz w:val="20"/>
          <w:szCs w:val="20"/>
        </w:rPr>
        <w:t> </w:t>
      </w:r>
      <w:r w:rsidRPr="006C5773">
        <w:rPr>
          <w:rFonts w:eastAsia="Arial" w:cs="Arial"/>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7FB17" w14:textId="1CEB082A" w:rsidR="002637CA" w:rsidRPr="00453900" w:rsidRDefault="00E51AAD" w:rsidP="00453900">
    <w:pPr>
      <w:pStyle w:val="En-tte"/>
    </w:pPr>
    <w:r w:rsidRPr="00352423">
      <w:rPr>
        <w:rFonts w:cs="Arial"/>
        <w:bCs/>
        <w:sz w:val="22"/>
        <w:szCs w:val="22"/>
      </w:rPr>
      <w:t>IOC</w:t>
    </w:r>
    <w:r>
      <w:rPr>
        <w:rFonts w:cs="Arial"/>
        <w:bCs/>
        <w:sz w:val="22"/>
        <w:szCs w:val="22"/>
      </w:rPr>
      <w:t>/A</w:t>
    </w:r>
    <w:r w:rsidRPr="00352423">
      <w:rPr>
        <w:rFonts w:cs="Arial"/>
        <w:bCs/>
        <w:sz w:val="22"/>
        <w:szCs w:val="22"/>
      </w:rPr>
      <w:t>-</w:t>
    </w:r>
    <w:r>
      <w:rPr>
        <w:rFonts w:cs="Arial"/>
        <w:bCs/>
        <w:sz w:val="22"/>
        <w:szCs w:val="22"/>
      </w:rPr>
      <w:t>33/</w:t>
    </w:r>
    <w:r>
      <w:rPr>
        <w:rFonts w:cs="Arial"/>
        <w:bCs/>
        <w:sz w:val="22"/>
        <w:szCs w:val="22"/>
      </w:rPr>
      <w:t>4.</w:t>
    </w:r>
    <w:proofErr w:type="gramStart"/>
    <w:r>
      <w:rPr>
        <w:rFonts w:cs="Arial"/>
        <w:bCs/>
        <w:sz w:val="22"/>
        <w:szCs w:val="22"/>
      </w:rPr>
      <w:t>8</w:t>
    </w:r>
    <w:r>
      <w:rPr>
        <w:rFonts w:cs="Arial"/>
        <w:bCs/>
        <w:sz w:val="22"/>
        <w:szCs w:val="22"/>
      </w:rPr>
      <w:t>.</w:t>
    </w:r>
    <w:r w:rsidRPr="00352423">
      <w:rPr>
        <w:rFonts w:cs="Arial"/>
        <w:bCs/>
        <w:sz w:val="22"/>
        <w:szCs w:val="22"/>
      </w:rPr>
      <w:t>Doc</w:t>
    </w:r>
    <w:proofErr w:type="gramEnd"/>
    <w:sdt>
      <w:sdtPr>
        <w:rPr>
          <w:rFonts w:cs="Arial"/>
          <w:bCs/>
          <w:sz w:val="22"/>
          <w:szCs w:val="22"/>
        </w:rPr>
        <w:id w:val="497312836"/>
        <w:docPartObj>
          <w:docPartGallery w:val="Page Numbers (Top of Page)"/>
          <w:docPartUnique/>
        </w:docPartObj>
      </w:sdtPr>
      <w:sdtContent>
        <w:r>
          <w:rPr>
            <w:rFonts w:cs="Arial"/>
            <w:bCs/>
            <w:sz w:val="22"/>
            <w:szCs w:val="22"/>
          </w:rPr>
          <w:t>(</w:t>
        </w:r>
        <w:r>
          <w:rPr>
            <w:rFonts w:cs="Arial"/>
            <w:bCs/>
            <w:sz w:val="22"/>
            <w:szCs w:val="22"/>
          </w:rPr>
          <w:t>3</w:t>
        </w:r>
        <w:r>
          <w:rPr>
            <w:rFonts w:cs="Arial"/>
            <w:bCs/>
            <w:sz w:val="22"/>
            <w:szCs w:val="22"/>
          </w:rPr>
          <w:t xml:space="preserve">)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szCs w:val="22"/>
          </w:rPr>
          <w:t>2</w:t>
        </w:r>
        <w:r w:rsidRPr="00BC135C">
          <w:rPr>
            <w:rFonts w:cs="Arial"/>
            <w:bCs/>
            <w:noProof/>
            <w:sz w:val="22"/>
            <w:szCs w:val="22"/>
          </w:rPr>
          <w:fldChar w:fldCharType="end"/>
        </w:r>
      </w:sdtContent>
    </w:sdt>
    <w:r>
      <w:rPr>
        <w:noProof/>
      </w:rPr>
      <w:t xml:space="preserve"> </w:t>
    </w:r>
    <w:r w:rsidR="00453900">
      <w:rPr>
        <w:noProof/>
      </w:rPr>
      <mc:AlternateContent>
        <mc:Choice Requires="wps">
          <w:drawing>
            <wp:anchor distT="45720" distB="45720" distL="114300" distR="114300" simplePos="0" relativeHeight="251665408" behindDoc="0" locked="0" layoutInCell="1" allowOverlap="1" wp14:anchorId="686C571C" wp14:editId="7510B5E3">
              <wp:simplePos x="0" y="0"/>
              <wp:positionH relativeFrom="column">
                <wp:posOffset>8839202</wp:posOffset>
              </wp:positionH>
              <wp:positionV relativeFrom="paragraph">
                <wp:posOffset>760828</wp:posOffset>
              </wp:positionV>
              <wp:extent cx="2360930" cy="1404620"/>
              <wp:effectExtent l="2222" t="0" r="3493" b="3492"/>
              <wp:wrapNone/>
              <wp:docPr id="5423646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60930" cy="1404620"/>
                      </a:xfrm>
                      <a:prstGeom prst="rect">
                        <a:avLst/>
                      </a:prstGeom>
                      <a:solidFill>
                        <a:srgbClr val="FFFFFF"/>
                      </a:solidFill>
                      <a:ln w="9525">
                        <a:noFill/>
                        <a:miter lim="800000"/>
                        <a:headEnd/>
                        <a:tailEnd/>
                      </a:ln>
                    </wps:spPr>
                    <wps:txbx>
                      <w:txbxContent>
                        <w:p w14:paraId="45EFE7BE" w14:textId="77777777" w:rsidR="00453900" w:rsidRDefault="00453900" w:rsidP="00453900">
                          <w:r w:rsidRPr="00453900">
                            <w:t xml:space="preserve">IOC/A-33/5.3.Doc(2) – page </w:t>
                          </w:r>
                          <w:r>
                            <w:fldChar w:fldCharType="begin"/>
                          </w:r>
                          <w:r>
                            <w:instrText>PAGE   \* MERGEFORMAT</w:instrText>
                          </w:r>
                          <w:r>
                            <w:fldChar w:fldCharType="separate"/>
                          </w:r>
                          <w:r>
                            <w:t>1</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86C571C" id="_x0000_t202" coordsize="21600,21600" o:spt="202" path="m,l,21600r21600,l21600,xe">
              <v:stroke joinstyle="miter"/>
              <v:path gradientshapeok="t" o:connecttype="rect"/>
            </v:shapetype>
            <v:shape id="Zone de texte 2" o:spid="_x0000_s1026" type="#_x0000_t202" style="position:absolute;margin-left:696pt;margin-top:59.9pt;width:185.9pt;height:110.6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" stroked="f">
              <v:textbox style="mso-fit-shape-to-text:t">
                <w:txbxContent>
                  <w:p w14:paraId="45EFE7BE" w14:textId="77777777" w:rsidR="00453900" w:rsidRDefault="00453900" w:rsidP="00453900">
                    <w:r w:rsidRPr="00453900">
                      <w:t xml:space="preserve">IOC/A-33/5.3.Doc(2) – page </w:t>
                    </w:r>
                    <w:r>
                      <w:fldChar w:fldCharType="begin"/>
                    </w:r>
                    <w:r>
                      <w:instrText>PAGE   \* MERGEFORMAT</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7E364" w14:textId="4D003DFE" w:rsidR="00E51AAD" w:rsidRDefault="00E51AAD" w:rsidP="00E51AAD">
    <w:pPr>
      <w:pStyle w:val="En-tte"/>
      <w:ind w:left="6379"/>
    </w:pPr>
    <w:r w:rsidRPr="00352423">
      <w:rPr>
        <w:rFonts w:cs="Arial"/>
        <w:bCs/>
        <w:sz w:val="22"/>
        <w:szCs w:val="22"/>
      </w:rPr>
      <w:t>IOC</w:t>
    </w:r>
    <w:r>
      <w:rPr>
        <w:rFonts w:cs="Arial"/>
        <w:bCs/>
        <w:sz w:val="22"/>
        <w:szCs w:val="22"/>
      </w:rPr>
      <w:t>/A</w:t>
    </w:r>
    <w:r w:rsidRPr="00352423">
      <w:rPr>
        <w:rFonts w:cs="Arial"/>
        <w:bCs/>
        <w:sz w:val="22"/>
        <w:szCs w:val="22"/>
      </w:rPr>
      <w:t>-</w:t>
    </w:r>
    <w:r>
      <w:rPr>
        <w:rFonts w:cs="Arial"/>
        <w:bCs/>
        <w:sz w:val="22"/>
        <w:szCs w:val="22"/>
      </w:rPr>
      <w:t>33/4.</w:t>
    </w:r>
    <w:proofErr w:type="gramStart"/>
    <w:r>
      <w:rPr>
        <w:rFonts w:cs="Arial"/>
        <w:bCs/>
        <w:sz w:val="22"/>
        <w:szCs w:val="22"/>
      </w:rPr>
      <w:t>8.</w:t>
    </w:r>
    <w:r w:rsidRPr="00352423">
      <w:rPr>
        <w:rFonts w:cs="Arial"/>
        <w:bCs/>
        <w:sz w:val="22"/>
        <w:szCs w:val="22"/>
      </w:rPr>
      <w:t>Doc</w:t>
    </w:r>
    <w:proofErr w:type="gramEnd"/>
    <w:sdt>
      <w:sdtPr>
        <w:rPr>
          <w:rFonts w:cs="Arial"/>
          <w:bCs/>
          <w:sz w:val="22"/>
          <w:szCs w:val="22"/>
        </w:rPr>
        <w:id w:val="1540855114"/>
        <w:docPartObj>
          <w:docPartGallery w:val="Page Numbers (Top of Page)"/>
          <w:docPartUnique/>
        </w:docPartObj>
      </w:sdtPr>
      <w:sdtContent>
        <w:r>
          <w:rPr>
            <w:rFonts w:cs="Arial"/>
            <w:bCs/>
            <w:sz w:val="22"/>
            <w:szCs w:val="22"/>
          </w:rPr>
          <w:t xml:space="preserve">(3)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szCs w:val="22"/>
          </w:rPr>
          <w:t>2</w:t>
        </w:r>
        <w:r w:rsidRPr="00BC135C">
          <w:rPr>
            <w:rFonts w:cs="Arial"/>
            <w:bCs/>
            <w:noProof/>
            <w:sz w:val="22"/>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1140" w14:textId="77777777" w:rsidR="005711E1" w:rsidRPr="00665B6A" w:rsidRDefault="005711E1" w:rsidP="005711E1">
    <w:pPr>
      <w:tabs>
        <w:tab w:val="left" w:pos="6237"/>
      </w:tabs>
      <w:spacing w:before="120"/>
      <w:ind w:right="-196"/>
      <w:jc w:val="both"/>
      <w:rPr>
        <w:rFonts w:cs="Arial"/>
        <w:b/>
      </w:rPr>
    </w:pPr>
    <w:r w:rsidRPr="00665B6A">
      <w:rPr>
        <w:rFonts w:cs="Arial"/>
      </w:rPr>
      <w:t xml:space="preserve">Distribution </w:t>
    </w:r>
    <w:r w:rsidRPr="00B32D34">
      <w:rPr>
        <w:rFonts w:cs="Arial"/>
      </w:rPr>
      <w:t>limitée</w:t>
    </w:r>
    <w:r w:rsidRPr="00665B6A">
      <w:rPr>
        <w:rFonts w:cs="Arial"/>
      </w:rPr>
      <w:tab/>
    </w:r>
    <w:bookmarkStart w:id="3" w:name="_Hlk54263549"/>
    <w:r w:rsidRPr="0042612F">
      <w:rPr>
        <w:rFonts w:cs="Arial"/>
        <w:b/>
        <w:sz w:val="36"/>
        <w:szCs w:val="36"/>
      </w:rPr>
      <w:t>IOC</w:t>
    </w:r>
    <w:r>
      <w:rPr>
        <w:rFonts w:cs="Arial"/>
        <w:b/>
        <w:sz w:val="36"/>
        <w:szCs w:val="36"/>
      </w:rPr>
      <w:t>/A</w:t>
    </w:r>
    <w:r w:rsidRPr="0042612F">
      <w:rPr>
        <w:rFonts w:cs="Arial"/>
        <w:b/>
        <w:sz w:val="36"/>
        <w:szCs w:val="36"/>
      </w:rPr>
      <w:t>-</w:t>
    </w:r>
    <w:r>
      <w:rPr>
        <w:rFonts w:cs="Arial"/>
        <w:b/>
        <w:sz w:val="36"/>
        <w:szCs w:val="36"/>
      </w:rPr>
      <w:t>33</w:t>
    </w:r>
    <w:r w:rsidRPr="0042612F">
      <w:rPr>
        <w:rFonts w:cs="Arial"/>
        <w:b/>
        <w:sz w:val="36"/>
        <w:szCs w:val="36"/>
      </w:rPr>
      <w:t>/</w:t>
    </w:r>
    <w:bookmarkEnd w:id="3"/>
    <w:r>
      <w:rPr>
        <w:rFonts w:cs="Arial"/>
        <w:b/>
        <w:sz w:val="36"/>
        <w:szCs w:val="36"/>
      </w:rPr>
      <w:t>4.</w:t>
    </w:r>
    <w:proofErr w:type="gramStart"/>
    <w:r>
      <w:rPr>
        <w:rFonts w:cs="Arial"/>
        <w:b/>
        <w:sz w:val="36"/>
        <w:szCs w:val="36"/>
      </w:rPr>
      <w:t>8.Doc</w:t>
    </w:r>
    <w:proofErr w:type="gramEnd"/>
    <w:r>
      <w:rPr>
        <w:rFonts w:cs="Arial"/>
        <w:b/>
        <w:sz w:val="36"/>
        <w:szCs w:val="36"/>
      </w:rPr>
      <w:t>(3)</w:t>
    </w:r>
  </w:p>
  <w:p w14:paraId="6189B3BE" w14:textId="77777777" w:rsidR="005711E1" w:rsidRPr="00665B6A" w:rsidRDefault="005711E1" w:rsidP="005711E1">
    <w:pPr>
      <w:tabs>
        <w:tab w:val="left" w:pos="2295"/>
        <w:tab w:val="left" w:pos="6096"/>
      </w:tabs>
      <w:ind w:left="6237"/>
      <w:jc w:val="both"/>
      <w:rPr>
        <w:rFonts w:cs="Arial"/>
      </w:rPr>
    </w:pPr>
    <w:r>
      <w:rPr>
        <w:rFonts w:cs="Arial"/>
        <w:b/>
        <w:noProof/>
        <w:snapToGrid/>
        <w:szCs w:val="22"/>
        <w:lang w:eastAsia="fr-FR"/>
      </w:rPr>
      <w:drawing>
        <wp:anchor distT="0" distB="0" distL="114300" distR="114300" simplePos="0" relativeHeight="251669504" behindDoc="0" locked="0" layoutInCell="1" allowOverlap="1" wp14:anchorId="124281DC" wp14:editId="1C7C900B">
          <wp:simplePos x="0" y="0"/>
          <wp:positionH relativeFrom="margin">
            <wp:posOffset>-88201</wp:posOffset>
          </wp:positionH>
          <wp:positionV relativeFrom="paragraph">
            <wp:posOffset>27940</wp:posOffset>
          </wp:positionV>
          <wp:extent cx="1578610" cy="1047115"/>
          <wp:effectExtent l="0" t="0" r="2540" b="635"/>
          <wp:wrapSquare wrapText="bothSides"/>
          <wp:docPr id="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Pr>
        <w:rFonts w:cs="Arial"/>
      </w:rPr>
      <w:t>Paris, le 8 avril</w:t>
    </w:r>
    <w:r w:rsidRPr="00665B6A">
      <w:rPr>
        <w:rFonts w:cs="Arial"/>
      </w:rPr>
      <w:t xml:space="preserve"> 20</w:t>
    </w:r>
    <w:r>
      <w:rPr>
        <w:rFonts w:cs="Arial"/>
      </w:rPr>
      <w:t>25</w:t>
    </w:r>
  </w:p>
  <w:p w14:paraId="7AC164A6" w14:textId="77777777" w:rsidR="005711E1" w:rsidRDefault="005711E1" w:rsidP="005711E1">
    <w:pPr>
      <w:tabs>
        <w:tab w:val="left" w:pos="2295"/>
        <w:tab w:val="left" w:pos="6096"/>
      </w:tabs>
      <w:spacing w:after="600"/>
      <w:ind w:left="6237"/>
      <w:jc w:val="both"/>
      <w:rPr>
        <w:rFonts w:cs="Arial"/>
      </w:rPr>
    </w:pPr>
    <w:r w:rsidRPr="00665B6A">
      <w:rPr>
        <w:rFonts w:cs="Arial"/>
      </w:rPr>
      <w:t>Original anglais</w:t>
    </w:r>
  </w:p>
  <w:p w14:paraId="683F3255" w14:textId="77777777" w:rsidR="005711E1" w:rsidRPr="001636E8" w:rsidRDefault="005711E1" w:rsidP="005711E1">
    <w:pPr>
      <w:tabs>
        <w:tab w:val="left" w:pos="2295"/>
      </w:tabs>
      <w:spacing w:after="600"/>
      <w:ind w:left="5954"/>
      <w:jc w:val="both"/>
      <w:rPr>
        <w:rFonts w:cs="Arial"/>
      </w:rPr>
    </w:pPr>
  </w:p>
  <w:p w14:paraId="5B7AD4CC" w14:textId="77777777" w:rsidR="005711E1" w:rsidRDefault="005711E1" w:rsidP="005711E1"/>
  <w:p w14:paraId="2064AD7A" w14:textId="46AEEED2" w:rsidR="0047625D" w:rsidRPr="00453900" w:rsidRDefault="0047625D" w:rsidP="004539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46C"/>
    <w:multiLevelType w:val="hybridMultilevel"/>
    <w:tmpl w:val="B082D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B64FB"/>
    <w:multiLevelType w:val="multilevel"/>
    <w:tmpl w:val="9660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F172E"/>
    <w:multiLevelType w:val="hybridMultilevel"/>
    <w:tmpl w:val="FC84E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272F00"/>
    <w:multiLevelType w:val="hybridMultilevel"/>
    <w:tmpl w:val="DEE6B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63ACE"/>
    <w:multiLevelType w:val="hybridMultilevel"/>
    <w:tmpl w:val="58DECD4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002B1"/>
    <w:multiLevelType w:val="hybridMultilevel"/>
    <w:tmpl w:val="75B6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14BF5"/>
    <w:multiLevelType w:val="multilevel"/>
    <w:tmpl w:val="5AC46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E966CB"/>
    <w:multiLevelType w:val="hybridMultilevel"/>
    <w:tmpl w:val="AAC8336E"/>
    <w:lvl w:ilvl="0" w:tplc="CC7E8070">
      <w:numFmt w:val="bullet"/>
      <w:lvlText w:val="-"/>
      <w:lvlJc w:val="left"/>
      <w:pPr>
        <w:ind w:left="720" w:hanging="360"/>
      </w:pPr>
      <w:rPr>
        <w:rFonts w:ascii="Fira Sans Light" w:eastAsiaTheme="minorHAnsi" w:hAnsi="Fira San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41394"/>
    <w:multiLevelType w:val="multilevel"/>
    <w:tmpl w:val="92D8E9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05C44B0"/>
    <w:multiLevelType w:val="hybridMultilevel"/>
    <w:tmpl w:val="BCB4E4F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163804E1"/>
    <w:multiLevelType w:val="hybridMultilevel"/>
    <w:tmpl w:val="98440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1F0F15"/>
    <w:multiLevelType w:val="hybridMultilevel"/>
    <w:tmpl w:val="6714E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DE87F39"/>
    <w:multiLevelType w:val="hybridMultilevel"/>
    <w:tmpl w:val="1E6C6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F22A0D"/>
    <w:multiLevelType w:val="hybridMultilevel"/>
    <w:tmpl w:val="13E0E16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BB2319"/>
    <w:multiLevelType w:val="multilevel"/>
    <w:tmpl w:val="684A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17" w15:restartNumberingAfterBreak="0">
    <w:nsid w:val="34251CFF"/>
    <w:multiLevelType w:val="hybridMultilevel"/>
    <w:tmpl w:val="36688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4C3D98"/>
    <w:multiLevelType w:val="hybridMultilevel"/>
    <w:tmpl w:val="27E61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948A7"/>
    <w:multiLevelType w:val="hybridMultilevel"/>
    <w:tmpl w:val="E822F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F3234B"/>
    <w:multiLevelType w:val="hybridMultilevel"/>
    <w:tmpl w:val="A9A80BD6"/>
    <w:lvl w:ilvl="0" w:tplc="624EB1E4">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B562E"/>
    <w:multiLevelType w:val="hybridMultilevel"/>
    <w:tmpl w:val="E854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4B65CB"/>
    <w:multiLevelType w:val="hybridMultilevel"/>
    <w:tmpl w:val="E2A0A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A26082"/>
    <w:multiLevelType w:val="hybridMultilevel"/>
    <w:tmpl w:val="41327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3B7281"/>
    <w:multiLevelType w:val="hybridMultilevel"/>
    <w:tmpl w:val="F4447522"/>
    <w:lvl w:ilvl="0" w:tplc="8EFCE1BC">
      <w:start w:val="1"/>
      <w:numFmt w:val="decimal"/>
      <w:lvlText w:val="%1."/>
      <w:lvlJc w:val="left"/>
      <w:pPr>
        <w:ind w:left="720" w:hanging="360"/>
      </w:pPr>
      <w:rPr>
        <w:color w:val="5B9BD5" w:themeColor="accent1"/>
      </w:rPr>
    </w:lvl>
    <w:lvl w:ilvl="1" w:tplc="1504BD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D6079"/>
    <w:multiLevelType w:val="hybridMultilevel"/>
    <w:tmpl w:val="3128266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5A38FD"/>
    <w:multiLevelType w:val="hybridMultilevel"/>
    <w:tmpl w:val="F5625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204C64"/>
    <w:multiLevelType w:val="hybridMultilevel"/>
    <w:tmpl w:val="5914DDB8"/>
    <w:lvl w:ilvl="0" w:tplc="6F5458A0">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CA7FC5"/>
    <w:multiLevelType w:val="hybridMultilevel"/>
    <w:tmpl w:val="F2FC657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3058B1"/>
    <w:multiLevelType w:val="hybridMultilevel"/>
    <w:tmpl w:val="A7109C38"/>
    <w:lvl w:ilvl="0" w:tplc="B72EFA38">
      <w:start w:val="1"/>
      <w:numFmt w:val="bullet"/>
      <w:lvlText w:val="•"/>
      <w:lvlJc w:val="left"/>
      <w:pPr>
        <w:tabs>
          <w:tab w:val="num" w:pos="720"/>
        </w:tabs>
        <w:ind w:left="720" w:hanging="360"/>
      </w:pPr>
      <w:rPr>
        <w:rFonts w:ascii="Times New Roman" w:hAnsi="Times New Roman" w:hint="default"/>
      </w:rPr>
    </w:lvl>
    <w:lvl w:ilvl="1" w:tplc="F20E9858" w:tentative="1">
      <w:start w:val="1"/>
      <w:numFmt w:val="bullet"/>
      <w:lvlText w:val="•"/>
      <w:lvlJc w:val="left"/>
      <w:pPr>
        <w:tabs>
          <w:tab w:val="num" w:pos="1440"/>
        </w:tabs>
        <w:ind w:left="1440" w:hanging="360"/>
      </w:pPr>
      <w:rPr>
        <w:rFonts w:ascii="Times New Roman" w:hAnsi="Times New Roman" w:hint="default"/>
      </w:rPr>
    </w:lvl>
    <w:lvl w:ilvl="2" w:tplc="D7A6A040" w:tentative="1">
      <w:start w:val="1"/>
      <w:numFmt w:val="bullet"/>
      <w:lvlText w:val="•"/>
      <w:lvlJc w:val="left"/>
      <w:pPr>
        <w:tabs>
          <w:tab w:val="num" w:pos="2160"/>
        </w:tabs>
        <w:ind w:left="2160" w:hanging="360"/>
      </w:pPr>
      <w:rPr>
        <w:rFonts w:ascii="Times New Roman" w:hAnsi="Times New Roman" w:hint="default"/>
      </w:rPr>
    </w:lvl>
    <w:lvl w:ilvl="3" w:tplc="297CE6E2" w:tentative="1">
      <w:start w:val="1"/>
      <w:numFmt w:val="bullet"/>
      <w:lvlText w:val="•"/>
      <w:lvlJc w:val="left"/>
      <w:pPr>
        <w:tabs>
          <w:tab w:val="num" w:pos="2880"/>
        </w:tabs>
        <w:ind w:left="2880" w:hanging="360"/>
      </w:pPr>
      <w:rPr>
        <w:rFonts w:ascii="Times New Roman" w:hAnsi="Times New Roman" w:hint="default"/>
      </w:rPr>
    </w:lvl>
    <w:lvl w:ilvl="4" w:tplc="0D4446A4" w:tentative="1">
      <w:start w:val="1"/>
      <w:numFmt w:val="bullet"/>
      <w:lvlText w:val="•"/>
      <w:lvlJc w:val="left"/>
      <w:pPr>
        <w:tabs>
          <w:tab w:val="num" w:pos="3600"/>
        </w:tabs>
        <w:ind w:left="3600" w:hanging="360"/>
      </w:pPr>
      <w:rPr>
        <w:rFonts w:ascii="Times New Roman" w:hAnsi="Times New Roman" w:hint="default"/>
      </w:rPr>
    </w:lvl>
    <w:lvl w:ilvl="5" w:tplc="5A2CD964" w:tentative="1">
      <w:start w:val="1"/>
      <w:numFmt w:val="bullet"/>
      <w:lvlText w:val="•"/>
      <w:lvlJc w:val="left"/>
      <w:pPr>
        <w:tabs>
          <w:tab w:val="num" w:pos="4320"/>
        </w:tabs>
        <w:ind w:left="4320" w:hanging="360"/>
      </w:pPr>
      <w:rPr>
        <w:rFonts w:ascii="Times New Roman" w:hAnsi="Times New Roman" w:hint="default"/>
      </w:rPr>
    </w:lvl>
    <w:lvl w:ilvl="6" w:tplc="64382214" w:tentative="1">
      <w:start w:val="1"/>
      <w:numFmt w:val="bullet"/>
      <w:lvlText w:val="•"/>
      <w:lvlJc w:val="left"/>
      <w:pPr>
        <w:tabs>
          <w:tab w:val="num" w:pos="5040"/>
        </w:tabs>
        <w:ind w:left="5040" w:hanging="360"/>
      </w:pPr>
      <w:rPr>
        <w:rFonts w:ascii="Times New Roman" w:hAnsi="Times New Roman" w:hint="default"/>
      </w:rPr>
    </w:lvl>
    <w:lvl w:ilvl="7" w:tplc="B064839E" w:tentative="1">
      <w:start w:val="1"/>
      <w:numFmt w:val="bullet"/>
      <w:lvlText w:val="•"/>
      <w:lvlJc w:val="left"/>
      <w:pPr>
        <w:tabs>
          <w:tab w:val="num" w:pos="5760"/>
        </w:tabs>
        <w:ind w:left="5760" w:hanging="360"/>
      </w:pPr>
      <w:rPr>
        <w:rFonts w:ascii="Times New Roman" w:hAnsi="Times New Roman" w:hint="default"/>
      </w:rPr>
    </w:lvl>
    <w:lvl w:ilvl="8" w:tplc="B584178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7DB300E"/>
    <w:multiLevelType w:val="multilevel"/>
    <w:tmpl w:val="A64EA1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80468F2"/>
    <w:multiLevelType w:val="hybridMultilevel"/>
    <w:tmpl w:val="8E00335C"/>
    <w:lvl w:ilvl="0" w:tplc="AEFA53E6">
      <w:start w:val="1"/>
      <w:numFmt w:val="bullet"/>
      <w:lvlText w:val="•"/>
      <w:lvlJc w:val="left"/>
      <w:pPr>
        <w:tabs>
          <w:tab w:val="num" w:pos="720"/>
        </w:tabs>
        <w:ind w:left="720" w:hanging="360"/>
      </w:pPr>
      <w:rPr>
        <w:rFonts w:ascii="Arial" w:hAnsi="Arial" w:hint="default"/>
      </w:rPr>
    </w:lvl>
    <w:lvl w:ilvl="1" w:tplc="0DA01FEC" w:tentative="1">
      <w:start w:val="1"/>
      <w:numFmt w:val="bullet"/>
      <w:lvlText w:val="•"/>
      <w:lvlJc w:val="left"/>
      <w:pPr>
        <w:tabs>
          <w:tab w:val="num" w:pos="1440"/>
        </w:tabs>
        <w:ind w:left="1440" w:hanging="360"/>
      </w:pPr>
      <w:rPr>
        <w:rFonts w:ascii="Arial" w:hAnsi="Arial" w:hint="default"/>
      </w:rPr>
    </w:lvl>
    <w:lvl w:ilvl="2" w:tplc="275A1FA6" w:tentative="1">
      <w:start w:val="1"/>
      <w:numFmt w:val="bullet"/>
      <w:lvlText w:val="•"/>
      <w:lvlJc w:val="left"/>
      <w:pPr>
        <w:tabs>
          <w:tab w:val="num" w:pos="2160"/>
        </w:tabs>
        <w:ind w:left="2160" w:hanging="360"/>
      </w:pPr>
      <w:rPr>
        <w:rFonts w:ascii="Arial" w:hAnsi="Arial" w:hint="default"/>
      </w:rPr>
    </w:lvl>
    <w:lvl w:ilvl="3" w:tplc="77FECEDE" w:tentative="1">
      <w:start w:val="1"/>
      <w:numFmt w:val="bullet"/>
      <w:lvlText w:val="•"/>
      <w:lvlJc w:val="left"/>
      <w:pPr>
        <w:tabs>
          <w:tab w:val="num" w:pos="2880"/>
        </w:tabs>
        <w:ind w:left="2880" w:hanging="360"/>
      </w:pPr>
      <w:rPr>
        <w:rFonts w:ascii="Arial" w:hAnsi="Arial" w:hint="default"/>
      </w:rPr>
    </w:lvl>
    <w:lvl w:ilvl="4" w:tplc="D4EAD0C2" w:tentative="1">
      <w:start w:val="1"/>
      <w:numFmt w:val="bullet"/>
      <w:lvlText w:val="•"/>
      <w:lvlJc w:val="left"/>
      <w:pPr>
        <w:tabs>
          <w:tab w:val="num" w:pos="3600"/>
        </w:tabs>
        <w:ind w:left="3600" w:hanging="360"/>
      </w:pPr>
      <w:rPr>
        <w:rFonts w:ascii="Arial" w:hAnsi="Arial" w:hint="default"/>
      </w:rPr>
    </w:lvl>
    <w:lvl w:ilvl="5" w:tplc="176021E0" w:tentative="1">
      <w:start w:val="1"/>
      <w:numFmt w:val="bullet"/>
      <w:lvlText w:val="•"/>
      <w:lvlJc w:val="left"/>
      <w:pPr>
        <w:tabs>
          <w:tab w:val="num" w:pos="4320"/>
        </w:tabs>
        <w:ind w:left="4320" w:hanging="360"/>
      </w:pPr>
      <w:rPr>
        <w:rFonts w:ascii="Arial" w:hAnsi="Arial" w:hint="default"/>
      </w:rPr>
    </w:lvl>
    <w:lvl w:ilvl="6" w:tplc="F6B8746E" w:tentative="1">
      <w:start w:val="1"/>
      <w:numFmt w:val="bullet"/>
      <w:lvlText w:val="•"/>
      <w:lvlJc w:val="left"/>
      <w:pPr>
        <w:tabs>
          <w:tab w:val="num" w:pos="5040"/>
        </w:tabs>
        <w:ind w:left="5040" w:hanging="360"/>
      </w:pPr>
      <w:rPr>
        <w:rFonts w:ascii="Arial" w:hAnsi="Arial" w:hint="default"/>
      </w:rPr>
    </w:lvl>
    <w:lvl w:ilvl="7" w:tplc="3F1431A0" w:tentative="1">
      <w:start w:val="1"/>
      <w:numFmt w:val="bullet"/>
      <w:lvlText w:val="•"/>
      <w:lvlJc w:val="left"/>
      <w:pPr>
        <w:tabs>
          <w:tab w:val="num" w:pos="5760"/>
        </w:tabs>
        <w:ind w:left="5760" w:hanging="360"/>
      </w:pPr>
      <w:rPr>
        <w:rFonts w:ascii="Arial" w:hAnsi="Arial" w:hint="default"/>
      </w:rPr>
    </w:lvl>
    <w:lvl w:ilvl="8" w:tplc="0DC485C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3F540F"/>
    <w:multiLevelType w:val="hybridMultilevel"/>
    <w:tmpl w:val="2850E8C0"/>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F77EAE"/>
    <w:multiLevelType w:val="hybridMultilevel"/>
    <w:tmpl w:val="9FC82602"/>
    <w:lvl w:ilvl="0" w:tplc="E450955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91722"/>
    <w:multiLevelType w:val="hybridMultilevel"/>
    <w:tmpl w:val="4B7C5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3882130"/>
    <w:multiLevelType w:val="hybridMultilevel"/>
    <w:tmpl w:val="EF122A08"/>
    <w:lvl w:ilvl="0" w:tplc="C59A53EE">
      <w:start w:val="1"/>
      <w:numFmt w:val="bullet"/>
      <w:lvlText w:val="•"/>
      <w:lvlJc w:val="left"/>
      <w:pPr>
        <w:tabs>
          <w:tab w:val="num" w:pos="720"/>
        </w:tabs>
        <w:ind w:left="720" w:hanging="360"/>
      </w:pPr>
      <w:rPr>
        <w:rFonts w:ascii="Arial" w:hAnsi="Arial" w:hint="default"/>
      </w:rPr>
    </w:lvl>
    <w:lvl w:ilvl="1" w:tplc="36026360" w:tentative="1">
      <w:start w:val="1"/>
      <w:numFmt w:val="bullet"/>
      <w:lvlText w:val="•"/>
      <w:lvlJc w:val="left"/>
      <w:pPr>
        <w:tabs>
          <w:tab w:val="num" w:pos="1440"/>
        </w:tabs>
        <w:ind w:left="1440" w:hanging="360"/>
      </w:pPr>
      <w:rPr>
        <w:rFonts w:ascii="Arial" w:hAnsi="Arial" w:hint="default"/>
      </w:rPr>
    </w:lvl>
    <w:lvl w:ilvl="2" w:tplc="CF28DDA6" w:tentative="1">
      <w:start w:val="1"/>
      <w:numFmt w:val="bullet"/>
      <w:lvlText w:val="•"/>
      <w:lvlJc w:val="left"/>
      <w:pPr>
        <w:tabs>
          <w:tab w:val="num" w:pos="2160"/>
        </w:tabs>
        <w:ind w:left="2160" w:hanging="360"/>
      </w:pPr>
      <w:rPr>
        <w:rFonts w:ascii="Arial" w:hAnsi="Arial" w:hint="default"/>
      </w:rPr>
    </w:lvl>
    <w:lvl w:ilvl="3" w:tplc="C5BA1DA4" w:tentative="1">
      <w:start w:val="1"/>
      <w:numFmt w:val="bullet"/>
      <w:lvlText w:val="•"/>
      <w:lvlJc w:val="left"/>
      <w:pPr>
        <w:tabs>
          <w:tab w:val="num" w:pos="2880"/>
        </w:tabs>
        <w:ind w:left="2880" w:hanging="360"/>
      </w:pPr>
      <w:rPr>
        <w:rFonts w:ascii="Arial" w:hAnsi="Arial" w:hint="default"/>
      </w:rPr>
    </w:lvl>
    <w:lvl w:ilvl="4" w:tplc="920ECAC2" w:tentative="1">
      <w:start w:val="1"/>
      <w:numFmt w:val="bullet"/>
      <w:lvlText w:val="•"/>
      <w:lvlJc w:val="left"/>
      <w:pPr>
        <w:tabs>
          <w:tab w:val="num" w:pos="3600"/>
        </w:tabs>
        <w:ind w:left="3600" w:hanging="360"/>
      </w:pPr>
      <w:rPr>
        <w:rFonts w:ascii="Arial" w:hAnsi="Arial" w:hint="default"/>
      </w:rPr>
    </w:lvl>
    <w:lvl w:ilvl="5" w:tplc="037E4754" w:tentative="1">
      <w:start w:val="1"/>
      <w:numFmt w:val="bullet"/>
      <w:lvlText w:val="•"/>
      <w:lvlJc w:val="left"/>
      <w:pPr>
        <w:tabs>
          <w:tab w:val="num" w:pos="4320"/>
        </w:tabs>
        <w:ind w:left="4320" w:hanging="360"/>
      </w:pPr>
      <w:rPr>
        <w:rFonts w:ascii="Arial" w:hAnsi="Arial" w:hint="default"/>
      </w:rPr>
    </w:lvl>
    <w:lvl w:ilvl="6" w:tplc="C854E024" w:tentative="1">
      <w:start w:val="1"/>
      <w:numFmt w:val="bullet"/>
      <w:lvlText w:val="•"/>
      <w:lvlJc w:val="left"/>
      <w:pPr>
        <w:tabs>
          <w:tab w:val="num" w:pos="5040"/>
        </w:tabs>
        <w:ind w:left="5040" w:hanging="360"/>
      </w:pPr>
      <w:rPr>
        <w:rFonts w:ascii="Arial" w:hAnsi="Arial" w:hint="default"/>
      </w:rPr>
    </w:lvl>
    <w:lvl w:ilvl="7" w:tplc="743ED5CA" w:tentative="1">
      <w:start w:val="1"/>
      <w:numFmt w:val="bullet"/>
      <w:lvlText w:val="•"/>
      <w:lvlJc w:val="left"/>
      <w:pPr>
        <w:tabs>
          <w:tab w:val="num" w:pos="5760"/>
        </w:tabs>
        <w:ind w:left="5760" w:hanging="360"/>
      </w:pPr>
      <w:rPr>
        <w:rFonts w:ascii="Arial" w:hAnsi="Arial" w:hint="default"/>
      </w:rPr>
    </w:lvl>
    <w:lvl w:ilvl="8" w:tplc="3B20C0E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603B4E"/>
    <w:multiLevelType w:val="multilevel"/>
    <w:tmpl w:val="D152E69E"/>
    <w:lvl w:ilvl="0">
      <w:start w:val="1"/>
      <w:numFmt w:val="lowerRoman"/>
      <w:lvlText w:val="(%1)"/>
      <w:lvlJc w:val="left"/>
      <w:pPr>
        <w:ind w:left="1797" w:hanging="360"/>
      </w:pPr>
      <w:rPr>
        <w:b w:val="0"/>
      </w:rPr>
    </w:lvl>
    <w:lvl w:ilvl="1">
      <w:start w:val="1"/>
      <w:numFmt w:val="lowerLetter"/>
      <w:lvlText w:val="%2."/>
      <w:lvlJc w:val="left"/>
      <w:pPr>
        <w:ind w:left="2517" w:hanging="360"/>
      </w:pPr>
    </w:lvl>
    <w:lvl w:ilvl="2">
      <w:start w:val="1"/>
      <w:numFmt w:val="lowerRoman"/>
      <w:lvlText w:val="%3."/>
      <w:lvlJc w:val="right"/>
      <w:pPr>
        <w:ind w:left="3237" w:hanging="180"/>
      </w:pPr>
    </w:lvl>
    <w:lvl w:ilvl="3">
      <w:start w:val="1"/>
      <w:numFmt w:val="decimal"/>
      <w:lvlText w:val="%4."/>
      <w:lvlJc w:val="left"/>
      <w:pPr>
        <w:ind w:left="3957" w:hanging="360"/>
      </w:pPr>
    </w:lvl>
    <w:lvl w:ilvl="4">
      <w:start w:val="1"/>
      <w:numFmt w:val="lowerLetter"/>
      <w:lvlText w:val="%5."/>
      <w:lvlJc w:val="left"/>
      <w:pPr>
        <w:ind w:left="4677" w:hanging="360"/>
      </w:pPr>
    </w:lvl>
    <w:lvl w:ilvl="5">
      <w:start w:val="1"/>
      <w:numFmt w:val="lowerRoman"/>
      <w:lvlText w:val="%6."/>
      <w:lvlJc w:val="right"/>
      <w:pPr>
        <w:ind w:left="5397" w:hanging="180"/>
      </w:pPr>
    </w:lvl>
    <w:lvl w:ilvl="6">
      <w:start w:val="1"/>
      <w:numFmt w:val="decimal"/>
      <w:lvlText w:val="%7."/>
      <w:lvlJc w:val="left"/>
      <w:pPr>
        <w:ind w:left="6117" w:hanging="360"/>
      </w:pPr>
    </w:lvl>
    <w:lvl w:ilvl="7">
      <w:start w:val="1"/>
      <w:numFmt w:val="lowerLetter"/>
      <w:lvlText w:val="%8."/>
      <w:lvlJc w:val="left"/>
      <w:pPr>
        <w:ind w:left="6837" w:hanging="360"/>
      </w:pPr>
    </w:lvl>
    <w:lvl w:ilvl="8">
      <w:start w:val="1"/>
      <w:numFmt w:val="lowerRoman"/>
      <w:lvlText w:val="%9."/>
      <w:lvlJc w:val="right"/>
      <w:pPr>
        <w:ind w:left="7557" w:hanging="180"/>
      </w:pPr>
    </w:lvl>
  </w:abstractNum>
  <w:abstractNum w:abstractNumId="37" w15:restartNumberingAfterBreak="0">
    <w:nsid w:val="715A6515"/>
    <w:multiLevelType w:val="hybridMultilevel"/>
    <w:tmpl w:val="B46C35E6"/>
    <w:lvl w:ilvl="0" w:tplc="87A09D12">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8" w15:restartNumberingAfterBreak="0">
    <w:nsid w:val="756C750E"/>
    <w:multiLevelType w:val="hybridMultilevel"/>
    <w:tmpl w:val="F85455C2"/>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461FA7"/>
    <w:multiLevelType w:val="hybridMultilevel"/>
    <w:tmpl w:val="0FA0E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801560">
    <w:abstractNumId w:val="16"/>
  </w:num>
  <w:num w:numId="2" w16cid:durableId="213859663">
    <w:abstractNumId w:val="33"/>
  </w:num>
  <w:num w:numId="3" w16cid:durableId="1767387111">
    <w:abstractNumId w:val="7"/>
  </w:num>
  <w:num w:numId="4" w16cid:durableId="1146162522">
    <w:abstractNumId w:val="24"/>
  </w:num>
  <w:num w:numId="5" w16cid:durableId="1670979281">
    <w:abstractNumId w:val="25"/>
  </w:num>
  <w:num w:numId="6" w16cid:durableId="1261790898">
    <w:abstractNumId w:val="20"/>
  </w:num>
  <w:num w:numId="7" w16cid:durableId="1213617237">
    <w:abstractNumId w:val="32"/>
  </w:num>
  <w:num w:numId="8" w16cid:durableId="1526291074">
    <w:abstractNumId w:val="38"/>
  </w:num>
  <w:num w:numId="9" w16cid:durableId="802650968">
    <w:abstractNumId w:val="4"/>
  </w:num>
  <w:num w:numId="10" w16cid:durableId="192815686">
    <w:abstractNumId w:val="9"/>
  </w:num>
  <w:num w:numId="11" w16cid:durableId="393898779">
    <w:abstractNumId w:val="5"/>
  </w:num>
  <w:num w:numId="12" w16cid:durableId="113446486">
    <w:abstractNumId w:val="6"/>
  </w:num>
  <w:num w:numId="13" w16cid:durableId="1699231344">
    <w:abstractNumId w:val="26"/>
    <w:lvlOverride w:ilvl="0">
      <w:lvl w:ilvl="0" w:tplc="040C0001">
        <w:start w:val="1"/>
        <w:numFmt w:val="bullet"/>
        <w:lvlText w:val=""/>
        <w:lvlJc w:val="left"/>
        <w:pPr>
          <w:ind w:left="720" w:hanging="360"/>
        </w:pPr>
        <w:rPr>
          <w:rFonts w:ascii="Symbol" w:hAnsi="Symbol" w:hint="default"/>
        </w:rPr>
      </w:lvl>
    </w:lvlOverride>
  </w:num>
  <w:num w:numId="14" w16cid:durableId="668757424">
    <w:abstractNumId w:val="30"/>
    <w:lvlOverride w:ilvl="0">
      <w:lvl w:ilvl="0">
        <w:start w:val="1"/>
        <w:numFmt w:val="bullet"/>
        <w:lvlText w:val=""/>
        <w:lvlJc w:val="left"/>
        <w:pPr>
          <w:ind w:left="720" w:hanging="360"/>
        </w:pPr>
        <w:rPr>
          <w:rFonts w:ascii="Symbol" w:hAnsi="Symbol" w:hint="default"/>
          <w:u w:val="none"/>
        </w:rPr>
      </w:lvl>
    </w:lvlOverride>
  </w:num>
  <w:num w:numId="15" w16cid:durableId="74400159">
    <w:abstractNumId w:val="19"/>
  </w:num>
  <w:num w:numId="16" w16cid:durableId="1841462780">
    <w:abstractNumId w:val="13"/>
  </w:num>
  <w:num w:numId="17" w16cid:durableId="944464315">
    <w:abstractNumId w:val="23"/>
  </w:num>
  <w:num w:numId="18" w16cid:durableId="648284434">
    <w:abstractNumId w:val="12"/>
    <w:lvlOverride w:ilvl="0">
      <w:lvl w:ilvl="0" w:tplc="04090001">
        <w:start w:val="1"/>
        <w:numFmt w:val="bullet"/>
        <w:lvlText w:val=""/>
        <w:lvlJc w:val="left"/>
        <w:pPr>
          <w:ind w:left="1800" w:hanging="360"/>
        </w:pPr>
        <w:rPr>
          <w:rFonts w:ascii="Symbol" w:hAnsi="Symbol" w:hint="default"/>
        </w:rPr>
      </w:lvl>
    </w:lvlOverride>
  </w:num>
  <w:num w:numId="19" w16cid:durableId="2085685950">
    <w:abstractNumId w:val="21"/>
  </w:num>
  <w:num w:numId="20" w16cid:durableId="977029366">
    <w:abstractNumId w:val="39"/>
    <w:lvlOverride w:ilvl="0">
      <w:lvl w:ilvl="0" w:tplc="04090001">
        <w:start w:val="1"/>
        <w:numFmt w:val="bullet"/>
        <w:lvlText w:val=""/>
        <w:lvlJc w:val="left"/>
        <w:pPr>
          <w:ind w:left="720" w:hanging="360"/>
        </w:pPr>
        <w:rPr>
          <w:rFonts w:ascii="Symbol" w:hAnsi="Symbol" w:hint="default"/>
        </w:rPr>
      </w:lvl>
    </w:lvlOverride>
  </w:num>
  <w:num w:numId="21" w16cid:durableId="596526446">
    <w:abstractNumId w:val="22"/>
    <w:lvlOverride w:ilvl="0">
      <w:lvl w:ilvl="0" w:tplc="04090001">
        <w:start w:val="1"/>
        <w:numFmt w:val="bullet"/>
        <w:lvlText w:val=""/>
        <w:lvlJc w:val="left"/>
        <w:pPr>
          <w:ind w:left="360" w:hanging="360"/>
        </w:pPr>
        <w:rPr>
          <w:rFonts w:ascii="Symbol" w:hAnsi="Symbol" w:hint="default"/>
        </w:rPr>
      </w:lvl>
    </w:lvlOverride>
  </w:num>
  <w:num w:numId="22" w16cid:durableId="1625847739">
    <w:abstractNumId w:val="11"/>
    <w:lvlOverride w:ilvl="0">
      <w:lvl w:ilvl="0" w:tplc="04090001">
        <w:start w:val="1"/>
        <w:numFmt w:val="bullet"/>
        <w:lvlText w:val=""/>
        <w:lvlJc w:val="left"/>
        <w:pPr>
          <w:ind w:left="360" w:hanging="360"/>
        </w:pPr>
        <w:rPr>
          <w:rFonts w:ascii="Symbol" w:hAnsi="Symbol" w:hint="default"/>
        </w:rPr>
      </w:lvl>
    </w:lvlOverride>
  </w:num>
  <w:num w:numId="23" w16cid:durableId="628710074">
    <w:abstractNumId w:val="17"/>
    <w:lvlOverride w:ilvl="0">
      <w:lvl w:ilvl="0" w:tplc="04090001">
        <w:start w:val="1"/>
        <w:numFmt w:val="bullet"/>
        <w:lvlText w:val=""/>
        <w:lvlJc w:val="left"/>
        <w:pPr>
          <w:ind w:left="360" w:hanging="360"/>
        </w:pPr>
        <w:rPr>
          <w:rFonts w:ascii="Symbol" w:hAnsi="Symbol" w:hint="default"/>
        </w:rPr>
      </w:lvl>
    </w:lvlOverride>
  </w:num>
  <w:num w:numId="24" w16cid:durableId="922762040">
    <w:abstractNumId w:val="3"/>
  </w:num>
  <w:num w:numId="25" w16cid:durableId="505510999">
    <w:abstractNumId w:val="18"/>
  </w:num>
  <w:num w:numId="26" w16cid:durableId="2023898130">
    <w:abstractNumId w:val="29"/>
  </w:num>
  <w:num w:numId="27" w16cid:durableId="452752564">
    <w:abstractNumId w:val="31"/>
  </w:num>
  <w:num w:numId="28" w16cid:durableId="1138451335">
    <w:abstractNumId w:val="35"/>
  </w:num>
  <w:num w:numId="29" w16cid:durableId="8458940">
    <w:abstractNumId w:val="15"/>
  </w:num>
  <w:num w:numId="30" w16cid:durableId="1361275275">
    <w:abstractNumId w:val="1"/>
  </w:num>
  <w:num w:numId="31" w16cid:durableId="1485049281">
    <w:abstractNumId w:val="34"/>
  </w:num>
  <w:num w:numId="32" w16cid:durableId="550966477">
    <w:abstractNumId w:val="10"/>
  </w:num>
  <w:num w:numId="33" w16cid:durableId="1894845258">
    <w:abstractNumId w:val="2"/>
  </w:num>
  <w:num w:numId="34" w16cid:durableId="1159728267">
    <w:abstractNumId w:val="28"/>
  </w:num>
  <w:num w:numId="35" w16cid:durableId="1126850961">
    <w:abstractNumId w:val="27"/>
  </w:num>
  <w:num w:numId="36" w16cid:durableId="319965795">
    <w:abstractNumId w:val="8"/>
  </w:num>
  <w:num w:numId="37" w16cid:durableId="17713123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3330453">
    <w:abstractNumId w:val="37"/>
  </w:num>
  <w:num w:numId="39" w16cid:durableId="674112306">
    <w:abstractNumId w:val="0"/>
  </w:num>
  <w:num w:numId="40" w16cid:durableId="20862985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207B0"/>
    <w:rsid w:val="000229E0"/>
    <w:rsid w:val="00023480"/>
    <w:rsid w:val="000269E0"/>
    <w:rsid w:val="00034000"/>
    <w:rsid w:val="00046C31"/>
    <w:rsid w:val="00051EE6"/>
    <w:rsid w:val="00053075"/>
    <w:rsid w:val="00071482"/>
    <w:rsid w:val="00074005"/>
    <w:rsid w:val="00094412"/>
    <w:rsid w:val="000B1F0F"/>
    <w:rsid w:val="000C2907"/>
    <w:rsid w:val="000D3043"/>
    <w:rsid w:val="000E79DE"/>
    <w:rsid w:val="000F3433"/>
    <w:rsid w:val="00101CC2"/>
    <w:rsid w:val="00121F48"/>
    <w:rsid w:val="00127F99"/>
    <w:rsid w:val="00135480"/>
    <w:rsid w:val="00137187"/>
    <w:rsid w:val="001461AC"/>
    <w:rsid w:val="00156AF5"/>
    <w:rsid w:val="001636E8"/>
    <w:rsid w:val="001862A1"/>
    <w:rsid w:val="00191465"/>
    <w:rsid w:val="001A3E49"/>
    <w:rsid w:val="001A489B"/>
    <w:rsid w:val="001B4535"/>
    <w:rsid w:val="001D2A9B"/>
    <w:rsid w:val="001E6B5E"/>
    <w:rsid w:val="00200D03"/>
    <w:rsid w:val="00205BAA"/>
    <w:rsid w:val="00206BC1"/>
    <w:rsid w:val="0021613E"/>
    <w:rsid w:val="00224F50"/>
    <w:rsid w:val="00235E02"/>
    <w:rsid w:val="00242126"/>
    <w:rsid w:val="002606EC"/>
    <w:rsid w:val="00262FCE"/>
    <w:rsid w:val="002637CA"/>
    <w:rsid w:val="00267B24"/>
    <w:rsid w:val="00271640"/>
    <w:rsid w:val="00293868"/>
    <w:rsid w:val="00295595"/>
    <w:rsid w:val="002A347F"/>
    <w:rsid w:val="002A38C9"/>
    <w:rsid w:val="002B0CD0"/>
    <w:rsid w:val="002B5713"/>
    <w:rsid w:val="002C2D6E"/>
    <w:rsid w:val="002C6133"/>
    <w:rsid w:val="002F13F1"/>
    <w:rsid w:val="00311767"/>
    <w:rsid w:val="003117C2"/>
    <w:rsid w:val="00312004"/>
    <w:rsid w:val="00313C37"/>
    <w:rsid w:val="00330169"/>
    <w:rsid w:val="003321BC"/>
    <w:rsid w:val="00344601"/>
    <w:rsid w:val="00344693"/>
    <w:rsid w:val="00345602"/>
    <w:rsid w:val="00356366"/>
    <w:rsid w:val="00357923"/>
    <w:rsid w:val="003729A1"/>
    <w:rsid w:val="00376476"/>
    <w:rsid w:val="003768B8"/>
    <w:rsid w:val="003845BA"/>
    <w:rsid w:val="003A3076"/>
    <w:rsid w:val="003A533E"/>
    <w:rsid w:val="003B4C80"/>
    <w:rsid w:val="003D15AC"/>
    <w:rsid w:val="003E63EE"/>
    <w:rsid w:val="003E7932"/>
    <w:rsid w:val="003F1A2A"/>
    <w:rsid w:val="0040445C"/>
    <w:rsid w:val="004135FA"/>
    <w:rsid w:val="0041586E"/>
    <w:rsid w:val="00416F54"/>
    <w:rsid w:val="00430207"/>
    <w:rsid w:val="00441968"/>
    <w:rsid w:val="00453900"/>
    <w:rsid w:val="00457A93"/>
    <w:rsid w:val="00470E98"/>
    <w:rsid w:val="004710D3"/>
    <w:rsid w:val="004724A8"/>
    <w:rsid w:val="0047625D"/>
    <w:rsid w:val="00480529"/>
    <w:rsid w:val="0048603F"/>
    <w:rsid w:val="004A59F9"/>
    <w:rsid w:val="004A6984"/>
    <w:rsid w:val="004A6D7D"/>
    <w:rsid w:val="004C5804"/>
    <w:rsid w:val="004C5CD0"/>
    <w:rsid w:val="004D53DD"/>
    <w:rsid w:val="00500129"/>
    <w:rsid w:val="005006FE"/>
    <w:rsid w:val="00516103"/>
    <w:rsid w:val="0051668C"/>
    <w:rsid w:val="00555F22"/>
    <w:rsid w:val="005560D9"/>
    <w:rsid w:val="005711E1"/>
    <w:rsid w:val="005742DC"/>
    <w:rsid w:val="00575917"/>
    <w:rsid w:val="00577CF2"/>
    <w:rsid w:val="0059001E"/>
    <w:rsid w:val="005A015D"/>
    <w:rsid w:val="005A17BD"/>
    <w:rsid w:val="005B6C0B"/>
    <w:rsid w:val="005C65F7"/>
    <w:rsid w:val="005D09E2"/>
    <w:rsid w:val="005D1B2B"/>
    <w:rsid w:val="005D2E07"/>
    <w:rsid w:val="005E1D48"/>
    <w:rsid w:val="00605660"/>
    <w:rsid w:val="006236E0"/>
    <w:rsid w:val="006435C1"/>
    <w:rsid w:val="00653F1F"/>
    <w:rsid w:val="00655FE1"/>
    <w:rsid w:val="00684810"/>
    <w:rsid w:val="006878E5"/>
    <w:rsid w:val="00694384"/>
    <w:rsid w:val="006A5AED"/>
    <w:rsid w:val="006C4D3B"/>
    <w:rsid w:val="006C6203"/>
    <w:rsid w:val="006F3D07"/>
    <w:rsid w:val="006F49B2"/>
    <w:rsid w:val="007179A8"/>
    <w:rsid w:val="00720640"/>
    <w:rsid w:val="00720D5C"/>
    <w:rsid w:val="00747EDE"/>
    <w:rsid w:val="00751E4E"/>
    <w:rsid w:val="00777D88"/>
    <w:rsid w:val="007A5A44"/>
    <w:rsid w:val="007B1F5A"/>
    <w:rsid w:val="007C6AD8"/>
    <w:rsid w:val="007E045D"/>
    <w:rsid w:val="007E79BA"/>
    <w:rsid w:val="007F231B"/>
    <w:rsid w:val="00800C77"/>
    <w:rsid w:val="00813036"/>
    <w:rsid w:val="0082714C"/>
    <w:rsid w:val="00827780"/>
    <w:rsid w:val="008339ED"/>
    <w:rsid w:val="008411EE"/>
    <w:rsid w:val="00847E04"/>
    <w:rsid w:val="00857C68"/>
    <w:rsid w:val="00862A71"/>
    <w:rsid w:val="00862D5F"/>
    <w:rsid w:val="008737E9"/>
    <w:rsid w:val="00875057"/>
    <w:rsid w:val="008A403D"/>
    <w:rsid w:val="008C1E4D"/>
    <w:rsid w:val="008F2123"/>
    <w:rsid w:val="008F5A58"/>
    <w:rsid w:val="008F73EB"/>
    <w:rsid w:val="009168C7"/>
    <w:rsid w:val="00920EDE"/>
    <w:rsid w:val="00924B2B"/>
    <w:rsid w:val="00925BD5"/>
    <w:rsid w:val="00934147"/>
    <w:rsid w:val="009438DD"/>
    <w:rsid w:val="009567A2"/>
    <w:rsid w:val="0096278E"/>
    <w:rsid w:val="00967534"/>
    <w:rsid w:val="00981124"/>
    <w:rsid w:val="00982DCA"/>
    <w:rsid w:val="0099117D"/>
    <w:rsid w:val="009B59CC"/>
    <w:rsid w:val="009C09A2"/>
    <w:rsid w:val="009C7D45"/>
    <w:rsid w:val="009F0D1E"/>
    <w:rsid w:val="009F7E7E"/>
    <w:rsid w:val="00A14EF6"/>
    <w:rsid w:val="00A36127"/>
    <w:rsid w:val="00A82923"/>
    <w:rsid w:val="00AA3592"/>
    <w:rsid w:val="00AA3870"/>
    <w:rsid w:val="00AB2D24"/>
    <w:rsid w:val="00AC01E1"/>
    <w:rsid w:val="00AC7CE6"/>
    <w:rsid w:val="00AD0CE1"/>
    <w:rsid w:val="00AE01F9"/>
    <w:rsid w:val="00AE17A0"/>
    <w:rsid w:val="00AE77AE"/>
    <w:rsid w:val="00B1128C"/>
    <w:rsid w:val="00B14A39"/>
    <w:rsid w:val="00B2175E"/>
    <w:rsid w:val="00B24258"/>
    <w:rsid w:val="00B34C37"/>
    <w:rsid w:val="00B60D5E"/>
    <w:rsid w:val="00B77EF1"/>
    <w:rsid w:val="00B80E02"/>
    <w:rsid w:val="00B94DD9"/>
    <w:rsid w:val="00B957E1"/>
    <w:rsid w:val="00BB2441"/>
    <w:rsid w:val="00BC22F5"/>
    <w:rsid w:val="00BC5869"/>
    <w:rsid w:val="00BC72DA"/>
    <w:rsid w:val="00BD0D00"/>
    <w:rsid w:val="00BD5AFF"/>
    <w:rsid w:val="00BE0628"/>
    <w:rsid w:val="00BE4327"/>
    <w:rsid w:val="00BF1AA8"/>
    <w:rsid w:val="00BF2E0D"/>
    <w:rsid w:val="00C06BAE"/>
    <w:rsid w:val="00C410F0"/>
    <w:rsid w:val="00C52F4C"/>
    <w:rsid w:val="00C56EBB"/>
    <w:rsid w:val="00C63308"/>
    <w:rsid w:val="00C66B3D"/>
    <w:rsid w:val="00CA28E1"/>
    <w:rsid w:val="00CB6B75"/>
    <w:rsid w:val="00CB6E7B"/>
    <w:rsid w:val="00CC6934"/>
    <w:rsid w:val="00CE2F8A"/>
    <w:rsid w:val="00CE5163"/>
    <w:rsid w:val="00CE5487"/>
    <w:rsid w:val="00CE6BE3"/>
    <w:rsid w:val="00D23DE5"/>
    <w:rsid w:val="00D41CBC"/>
    <w:rsid w:val="00D42EBE"/>
    <w:rsid w:val="00D553C0"/>
    <w:rsid w:val="00D56164"/>
    <w:rsid w:val="00D56F25"/>
    <w:rsid w:val="00D7032A"/>
    <w:rsid w:val="00D80E0F"/>
    <w:rsid w:val="00D95A0A"/>
    <w:rsid w:val="00DA03CE"/>
    <w:rsid w:val="00DB10F4"/>
    <w:rsid w:val="00DB4C83"/>
    <w:rsid w:val="00DC1042"/>
    <w:rsid w:val="00DC42CB"/>
    <w:rsid w:val="00DD1FF9"/>
    <w:rsid w:val="00DD5308"/>
    <w:rsid w:val="00DE2F6D"/>
    <w:rsid w:val="00DE458F"/>
    <w:rsid w:val="00DF0F58"/>
    <w:rsid w:val="00DF798C"/>
    <w:rsid w:val="00E04DE3"/>
    <w:rsid w:val="00E27A19"/>
    <w:rsid w:val="00E31511"/>
    <w:rsid w:val="00E37908"/>
    <w:rsid w:val="00E44C76"/>
    <w:rsid w:val="00E51AAD"/>
    <w:rsid w:val="00E53A66"/>
    <w:rsid w:val="00E872C7"/>
    <w:rsid w:val="00E90F6F"/>
    <w:rsid w:val="00EA1332"/>
    <w:rsid w:val="00EA63C3"/>
    <w:rsid w:val="00EA7314"/>
    <w:rsid w:val="00EC294E"/>
    <w:rsid w:val="00EC78BA"/>
    <w:rsid w:val="00EE3DF2"/>
    <w:rsid w:val="00F10028"/>
    <w:rsid w:val="00F2294C"/>
    <w:rsid w:val="00F22BF7"/>
    <w:rsid w:val="00F23C58"/>
    <w:rsid w:val="00F25875"/>
    <w:rsid w:val="00F53789"/>
    <w:rsid w:val="00F74BF3"/>
    <w:rsid w:val="00F757BD"/>
    <w:rsid w:val="00FC097D"/>
    <w:rsid w:val="00FC3783"/>
    <w:rsid w:val="00FC4C71"/>
    <w:rsid w:val="00FD46F5"/>
    <w:rsid w:val="00FD6BA9"/>
    <w:rsid w:val="00FF58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1A2D8"/>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48"/>
    <w:pPr>
      <w:tabs>
        <w:tab w:val="left" w:pos="567"/>
      </w:tabs>
      <w:snapToGrid w:val="0"/>
    </w:pPr>
    <w:rPr>
      <w:rFonts w:ascii="Arial" w:hAnsi="Arial"/>
      <w:snapToGrid w:val="0"/>
      <w:sz w:val="22"/>
      <w:szCs w:val="24"/>
      <w:lang w:eastAsia="en-US"/>
    </w:rPr>
  </w:style>
  <w:style w:type="paragraph" w:styleId="Titre1">
    <w:name w:val="heading 1"/>
    <w:basedOn w:val="Normal"/>
    <w:next w:val="Marge"/>
    <w:link w:val="Titre1Car"/>
    <w:uiPriority w:val="9"/>
    <w:qFormat/>
    <w:pPr>
      <w:keepNext/>
      <w:keepLines/>
      <w:spacing w:before="240" w:after="240"/>
      <w:jc w:val="center"/>
      <w:outlineLvl w:val="0"/>
    </w:pPr>
    <w:rPr>
      <w:b/>
      <w:bCs/>
      <w:kern w:val="28"/>
    </w:rPr>
  </w:style>
  <w:style w:type="paragraph" w:styleId="Titre2">
    <w:name w:val="heading 2"/>
    <w:basedOn w:val="Normal"/>
    <w:next w:val="Marge"/>
    <w:link w:val="Titre2Car"/>
    <w:uiPriority w:val="9"/>
    <w:qFormat/>
    <w:pPr>
      <w:keepNext/>
      <w:keepLines/>
      <w:spacing w:before="480" w:after="240"/>
      <w:ind w:left="567" w:hanging="567"/>
      <w:outlineLvl w:val="1"/>
    </w:pPr>
    <w:rPr>
      <w:b/>
      <w:bCs/>
      <w:caps/>
    </w:rPr>
  </w:style>
  <w:style w:type="paragraph" w:styleId="Titre3">
    <w:name w:val="heading 3"/>
    <w:basedOn w:val="Normal"/>
    <w:next w:val="Marge"/>
    <w:link w:val="Titre3Car"/>
    <w:qFormat/>
    <w:pPr>
      <w:keepNext/>
      <w:keepLines/>
      <w:spacing w:after="240"/>
      <w:ind w:left="567" w:hanging="567"/>
      <w:outlineLvl w:val="2"/>
    </w:pPr>
    <w:rPr>
      <w:b/>
      <w:bCs/>
    </w:rPr>
  </w:style>
  <w:style w:type="paragraph" w:styleId="Titre4">
    <w:name w:val="heading 4"/>
    <w:basedOn w:val="Normal"/>
    <w:next w:val="Marge"/>
    <w:qFormat/>
    <w:pPr>
      <w:keepNext/>
      <w:keepLines/>
      <w:spacing w:after="240"/>
      <w:outlineLvl w:val="3"/>
    </w:pPr>
    <w:rPr>
      <w:b/>
      <w:bCs/>
    </w:rPr>
  </w:style>
  <w:style w:type="paragraph" w:styleId="Titre5">
    <w:name w:val="heading 5"/>
    <w:basedOn w:val="Normal"/>
    <w:next w:val="Marge"/>
    <w:qFormat/>
    <w:pPr>
      <w:keepNext/>
      <w:keepLines/>
      <w:tabs>
        <w:tab w:val="clear" w:pos="567"/>
        <w:tab w:val="left" w:pos="1134"/>
      </w:tabs>
      <w:spacing w:after="240"/>
      <w:ind w:left="1134" w:hanging="567"/>
      <w:outlineLvl w:val="4"/>
    </w:pPr>
    <w:rPr>
      <w:b/>
      <w:bCs/>
    </w:rPr>
  </w:style>
  <w:style w:type="paragraph" w:styleId="Titre6">
    <w:name w:val="heading 6"/>
    <w:basedOn w:val="Normal"/>
    <w:next w:val="Marge"/>
    <w:qFormat/>
    <w:pPr>
      <w:keepNext/>
      <w:keepLines/>
      <w:tabs>
        <w:tab w:val="clear" w:pos="567"/>
        <w:tab w:val="left" w:pos="1134"/>
      </w:tabs>
      <w:spacing w:after="240"/>
      <w:ind w:left="567"/>
      <w:outlineLvl w:val="5"/>
    </w:pPr>
    <w:rPr>
      <w:b/>
      <w:i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Appelnotedebasdep">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qFormat/>
    <w:rPr>
      <w:vertAlign w:val="superscript"/>
    </w:rPr>
  </w:style>
  <w:style w:type="paragraph" w:styleId="En-tte">
    <w:name w:val="header"/>
    <w:basedOn w:val="Normal"/>
    <w:link w:val="En-tteCar"/>
    <w:uiPriority w:val="99"/>
    <w:pPr>
      <w:tabs>
        <w:tab w:val="clear" w:pos="567"/>
        <w:tab w:val="right" w:pos="9600"/>
      </w:tabs>
    </w:pPr>
    <w:rPr>
      <w:sz w:val="20"/>
      <w:szCs w:val="20"/>
    </w:rPr>
  </w:style>
  <w:style w:type="paragraph" w:customStyle="1" w:styleId="Marge">
    <w:name w:val="Marge"/>
    <w:basedOn w:val="Normal"/>
    <w:link w:val="MargeChar"/>
    <w:uiPriority w:val="99"/>
    <w:qFormat/>
    <w:pPr>
      <w:spacing w:after="240"/>
      <w:jc w:val="both"/>
    </w:pPr>
  </w:style>
  <w:style w:type="paragraph" w:styleId="Notedebasdepage">
    <w:name w:val="footnote text"/>
    <w:basedOn w:val="Normal"/>
    <w:link w:val="NotedebasdepageCar"/>
    <w:semiHidden/>
    <w:pPr>
      <w:ind w:left="567" w:hanging="567"/>
      <w:jc w:val="both"/>
    </w:pPr>
    <w:rPr>
      <w:sz w:val="20"/>
      <w:szCs w:val="20"/>
    </w:rPr>
  </w:style>
  <w:style w:type="character" w:styleId="Numrodepage">
    <w:name w:val="page number"/>
    <w:basedOn w:val="Policepardfaut"/>
  </w:style>
  <w:style w:type="paragraph" w:customStyle="1" w:styleId="Par">
    <w:name w:val="Par"/>
    <w:basedOn w:val="Normal"/>
    <w:pPr>
      <w:spacing w:after="240"/>
      <w:ind w:firstLine="567"/>
      <w:jc w:val="both"/>
    </w:pPr>
  </w:style>
  <w:style w:type="paragraph" w:styleId="Pieddepage">
    <w:name w:val="footer"/>
    <w:basedOn w:val="Normal"/>
    <w:link w:val="PieddepageCar"/>
    <w:uiPriority w:val="99"/>
    <w:pPr>
      <w:tabs>
        <w:tab w:val="clear" w:pos="567"/>
      </w:tabs>
    </w:pPr>
  </w:style>
  <w:style w:type="paragraph" w:customStyle="1" w:styleId="TIRETbul1cm">
    <w:name w:val="TIRET bul 1cm"/>
    <w:basedOn w:val="Normal"/>
    <w:pPr>
      <w:numPr>
        <w:numId w:val="1"/>
      </w:numPr>
      <w:tabs>
        <w:tab w:val="clear" w:pos="567"/>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numbering" w:customStyle="1" w:styleId="Aucuneliste1">
    <w:name w:val="Aucune liste1"/>
    <w:next w:val="Aucuneliste"/>
    <w:uiPriority w:val="99"/>
    <w:semiHidden/>
    <w:unhideWhenUsed/>
    <w:rsid w:val="00200D03"/>
  </w:style>
  <w:style w:type="character" w:customStyle="1" w:styleId="Titre1Car">
    <w:name w:val="Titre 1 Car"/>
    <w:basedOn w:val="Policepardfaut"/>
    <w:link w:val="Titre1"/>
    <w:uiPriority w:val="9"/>
    <w:rsid w:val="00200D03"/>
    <w:rPr>
      <w:rFonts w:ascii="Arial" w:hAnsi="Arial"/>
      <w:b/>
      <w:bCs/>
      <w:snapToGrid w:val="0"/>
      <w:kern w:val="28"/>
      <w:sz w:val="22"/>
      <w:szCs w:val="24"/>
      <w:lang w:eastAsia="en-US"/>
    </w:rPr>
  </w:style>
  <w:style w:type="character" w:customStyle="1" w:styleId="Titre2Car">
    <w:name w:val="Titre 2 Car"/>
    <w:basedOn w:val="Policepardfaut"/>
    <w:link w:val="Titre2"/>
    <w:uiPriority w:val="9"/>
    <w:rsid w:val="00200D03"/>
    <w:rPr>
      <w:rFonts w:ascii="Arial" w:hAnsi="Arial"/>
      <w:b/>
      <w:bCs/>
      <w:caps/>
      <w:snapToGrid w:val="0"/>
      <w:sz w:val="22"/>
      <w:szCs w:val="24"/>
      <w:lang w:eastAsia="en-US"/>
    </w:rPr>
  </w:style>
  <w:style w:type="character" w:customStyle="1" w:styleId="Titre3Car">
    <w:name w:val="Titre 3 Car"/>
    <w:basedOn w:val="Policepardfaut"/>
    <w:link w:val="Titre3"/>
    <w:uiPriority w:val="9"/>
    <w:rsid w:val="00200D03"/>
    <w:rPr>
      <w:rFonts w:ascii="Arial" w:hAnsi="Arial"/>
      <w:b/>
      <w:bCs/>
      <w:snapToGrid w:val="0"/>
      <w:sz w:val="22"/>
      <w:szCs w:val="24"/>
      <w:lang w:eastAsia="en-US"/>
    </w:rPr>
  </w:style>
  <w:style w:type="table" w:customStyle="1" w:styleId="Grilledutableau1">
    <w:name w:val="Grille du tableau1"/>
    <w:basedOn w:val="TableauNormal"/>
    <w:next w:val="Grilledutableau"/>
    <w:uiPriority w:val="39"/>
    <w:rsid w:val="00200D03"/>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Textedebulles"/>
    <w:link w:val="TextedebullesCar"/>
    <w:uiPriority w:val="99"/>
    <w:semiHidden/>
    <w:unhideWhenUsed/>
    <w:rsid w:val="00200D03"/>
    <w:pPr>
      <w:widowControl w:val="0"/>
      <w:tabs>
        <w:tab w:val="clear" w:pos="567"/>
      </w:tabs>
      <w:snapToGrid/>
    </w:pPr>
    <w:rPr>
      <w:rFonts w:ascii="Segoe UI" w:hAnsi="Segoe UI" w:cs="Segoe UI"/>
      <w:snapToGrid/>
      <w:sz w:val="18"/>
      <w:szCs w:val="18"/>
      <w:lang w:eastAsia="fr-FR"/>
    </w:rPr>
  </w:style>
  <w:style w:type="character" w:customStyle="1" w:styleId="TextedebullesCar">
    <w:name w:val="Texte de bulles Car"/>
    <w:basedOn w:val="Policepardfaut"/>
    <w:link w:val="Textedebulles1"/>
    <w:uiPriority w:val="99"/>
    <w:semiHidden/>
    <w:rsid w:val="00200D03"/>
    <w:rPr>
      <w:rFonts w:ascii="Segoe UI" w:hAnsi="Segoe UI" w:cs="Segoe UI"/>
      <w:sz w:val="18"/>
      <w:szCs w:val="18"/>
    </w:rPr>
  </w:style>
  <w:style w:type="paragraph" w:customStyle="1" w:styleId="Sansinterligne1">
    <w:name w:val="Sans interligne1"/>
    <w:next w:val="Sansinterligne"/>
    <w:link w:val="SansinterligneCar"/>
    <w:uiPriority w:val="1"/>
    <w:qFormat/>
    <w:rsid w:val="00200D03"/>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Titre1"/>
    <w:next w:val="Normal"/>
    <w:uiPriority w:val="39"/>
    <w:unhideWhenUsed/>
    <w:qFormat/>
    <w:rsid w:val="00200D03"/>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Titre1"/>
    <w:next w:val="Normal"/>
    <w:autoRedefine/>
    <w:uiPriority w:val="39"/>
    <w:unhideWhenUsed/>
    <w:rsid w:val="00200D03"/>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Titre2"/>
    <w:next w:val="Normal"/>
    <w:autoRedefine/>
    <w:uiPriority w:val="39"/>
    <w:unhideWhenUsed/>
    <w:rsid w:val="00200D03"/>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Policepardfaut"/>
    <w:uiPriority w:val="99"/>
    <w:unhideWhenUsed/>
    <w:rsid w:val="00200D03"/>
    <w:rPr>
      <w:color w:val="0000FF"/>
      <w:u w:val="single"/>
    </w:rPr>
  </w:style>
  <w:style w:type="paragraph" w:customStyle="1" w:styleId="TM31">
    <w:name w:val="TM 31"/>
    <w:basedOn w:val="Titre3"/>
    <w:next w:val="Normal"/>
    <w:autoRedefine/>
    <w:uiPriority w:val="39"/>
    <w:unhideWhenUsed/>
    <w:rsid w:val="00200D03"/>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En-tteCar">
    <w:name w:val="En-tête Car"/>
    <w:basedOn w:val="Policepardfaut"/>
    <w:link w:val="En-tte"/>
    <w:uiPriority w:val="99"/>
    <w:rsid w:val="00200D03"/>
    <w:rPr>
      <w:rFonts w:ascii="Arial" w:hAnsi="Arial"/>
      <w:snapToGrid w:val="0"/>
      <w:lang w:eastAsia="en-US"/>
    </w:rPr>
  </w:style>
  <w:style w:type="character" w:customStyle="1" w:styleId="PieddepageCar">
    <w:name w:val="Pied de page Car"/>
    <w:basedOn w:val="Policepardfaut"/>
    <w:link w:val="Pieddepage"/>
    <w:uiPriority w:val="99"/>
    <w:rsid w:val="00200D03"/>
    <w:rPr>
      <w:rFonts w:ascii="Arial" w:hAnsi="Arial"/>
      <w:snapToGrid w:val="0"/>
      <w:sz w:val="22"/>
      <w:szCs w:val="24"/>
      <w:lang w:eastAsia="en-US"/>
    </w:rPr>
  </w:style>
  <w:style w:type="paragraph" w:customStyle="1" w:styleId="Paragraphedeliste1">
    <w:name w:val="Paragraphe de liste1"/>
    <w:basedOn w:val="Normal"/>
    <w:next w:val="Paragraphedeliste"/>
    <w:link w:val="ParagraphedelisteCar"/>
    <w:uiPriority w:val="34"/>
    <w:qFormat/>
    <w:rsid w:val="00200D03"/>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rPr>
  </w:style>
  <w:style w:type="paragraph" w:customStyle="1" w:styleId="Default">
    <w:name w:val="Default"/>
    <w:rsid w:val="00200D03"/>
    <w:pPr>
      <w:autoSpaceDE w:val="0"/>
      <w:autoSpaceDN w:val="0"/>
      <w:adjustRightInd w:val="0"/>
    </w:pPr>
    <w:rPr>
      <w:rFonts w:ascii="Calibri" w:eastAsia="Calibri" w:hAnsi="Calibri" w:cs="Calibri"/>
      <w:color w:val="000000"/>
      <w:sz w:val="24"/>
      <w:szCs w:val="24"/>
      <w:lang w:val="en-US" w:eastAsia="en-US"/>
    </w:rPr>
  </w:style>
  <w:style w:type="character" w:styleId="Marquedecommentaire">
    <w:name w:val="annotation reference"/>
    <w:basedOn w:val="Policepardfaut"/>
    <w:uiPriority w:val="99"/>
    <w:unhideWhenUsed/>
    <w:rsid w:val="00200D03"/>
    <w:rPr>
      <w:sz w:val="16"/>
      <w:szCs w:val="16"/>
    </w:rPr>
  </w:style>
  <w:style w:type="paragraph" w:styleId="Commentaire">
    <w:name w:val="annotation text"/>
    <w:basedOn w:val="Normal"/>
    <w:link w:val="CommentaireCar"/>
    <w:uiPriority w:val="99"/>
    <w:unhideWhenUsed/>
    <w:rsid w:val="00200D03"/>
    <w:pPr>
      <w:tabs>
        <w:tab w:val="clear" w:pos="567"/>
      </w:tabs>
      <w:snapToGrid/>
    </w:pPr>
    <w:rPr>
      <w:rFonts w:eastAsia="Arial" w:cs="Arial"/>
      <w:snapToGrid/>
      <w:sz w:val="20"/>
      <w:szCs w:val="20"/>
      <w:lang w:val="en-US" w:eastAsia="en-GB"/>
    </w:rPr>
  </w:style>
  <w:style w:type="character" w:customStyle="1" w:styleId="CommentaireCar">
    <w:name w:val="Commentaire Car"/>
    <w:basedOn w:val="Policepardfaut"/>
    <w:link w:val="Commentaire"/>
    <w:uiPriority w:val="99"/>
    <w:rsid w:val="00200D03"/>
    <w:rPr>
      <w:rFonts w:ascii="Arial" w:eastAsia="Arial" w:hAnsi="Arial" w:cs="Arial"/>
      <w:lang w:val="en-US" w:eastAsia="en-GB"/>
    </w:rPr>
  </w:style>
  <w:style w:type="character" w:customStyle="1" w:styleId="ParagraphedelisteCar">
    <w:name w:val="Paragraphe de liste Car"/>
    <w:link w:val="Paragraphedeliste1"/>
    <w:uiPriority w:val="34"/>
    <w:rsid w:val="00200D03"/>
    <w:rPr>
      <w:rFonts w:ascii="Fira Sans Light" w:hAnsi="Fira Sans Light"/>
      <w:sz w:val="20"/>
    </w:rPr>
  </w:style>
  <w:style w:type="character" w:styleId="Accentuation">
    <w:name w:val="Emphasis"/>
    <w:basedOn w:val="Policepardfaut"/>
    <w:uiPriority w:val="20"/>
    <w:qFormat/>
    <w:rsid w:val="00200D03"/>
    <w:rPr>
      <w:i/>
      <w:iCs/>
    </w:rPr>
  </w:style>
  <w:style w:type="paragraph" w:customStyle="1" w:styleId="paragraph">
    <w:name w:val="paragraph"/>
    <w:basedOn w:val="Normal"/>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eop">
    <w:name w:val="eop"/>
    <w:basedOn w:val="Policepardfaut"/>
    <w:rsid w:val="00200D03"/>
  </w:style>
  <w:style w:type="character" w:customStyle="1" w:styleId="SansinterligneCar">
    <w:name w:val="Sans interligne Car"/>
    <w:basedOn w:val="Policepardfaut"/>
    <w:link w:val="Sansinterligne1"/>
    <w:uiPriority w:val="1"/>
    <w:rsid w:val="00200D03"/>
  </w:style>
  <w:style w:type="character" w:styleId="lev">
    <w:name w:val="Strong"/>
    <w:basedOn w:val="Policepardfaut"/>
    <w:uiPriority w:val="22"/>
    <w:qFormat/>
    <w:rsid w:val="00200D03"/>
    <w:rPr>
      <w:b/>
      <w:bCs/>
    </w:rPr>
  </w:style>
  <w:style w:type="character" w:customStyle="1" w:styleId="ffa">
    <w:name w:val="ffa"/>
    <w:basedOn w:val="Policepardfaut"/>
    <w:rsid w:val="00200D03"/>
  </w:style>
  <w:style w:type="character" w:customStyle="1" w:styleId="ws2a">
    <w:name w:val="ws2a"/>
    <w:basedOn w:val="Policepardfaut"/>
    <w:rsid w:val="00200D03"/>
  </w:style>
  <w:style w:type="character" w:styleId="Appeldenotedefin">
    <w:name w:val="endnote reference"/>
    <w:basedOn w:val="Policepardfaut"/>
    <w:uiPriority w:val="99"/>
    <w:unhideWhenUsed/>
    <w:rsid w:val="00200D03"/>
    <w:rPr>
      <w:vertAlign w:val="superscript"/>
    </w:rPr>
  </w:style>
  <w:style w:type="paragraph" w:customStyle="1" w:styleId="Lgende1">
    <w:name w:val="Légende1"/>
    <w:basedOn w:val="Normal"/>
    <w:next w:val="Normal"/>
    <w:uiPriority w:val="35"/>
    <w:unhideWhenUsed/>
    <w:qFormat/>
    <w:rsid w:val="00200D03"/>
    <w:pPr>
      <w:tabs>
        <w:tab w:val="clear" w:pos="567"/>
      </w:tabs>
      <w:snapToGrid/>
      <w:spacing w:after="200"/>
    </w:pPr>
    <w:rPr>
      <w:rFonts w:eastAsia="Arial" w:cs="Arial"/>
      <w:i/>
      <w:iCs/>
      <w:snapToGrid/>
      <w:color w:val="4FA68C"/>
      <w:sz w:val="18"/>
      <w:szCs w:val="18"/>
      <w:lang w:val="en-US" w:eastAsia="en-GB"/>
    </w:rPr>
  </w:style>
  <w:style w:type="character" w:customStyle="1" w:styleId="st">
    <w:name w:val="st"/>
    <w:basedOn w:val="Policepardfaut"/>
    <w:rsid w:val="00200D03"/>
  </w:style>
  <w:style w:type="character" w:customStyle="1" w:styleId="normaltextrun">
    <w:name w:val="normaltextrun"/>
    <w:basedOn w:val="Policepardfaut"/>
    <w:rsid w:val="00200D03"/>
  </w:style>
  <w:style w:type="paragraph" w:styleId="Notedefin">
    <w:name w:val="endnote text"/>
    <w:basedOn w:val="Normal"/>
    <w:link w:val="NotedefinCar"/>
    <w:uiPriority w:val="99"/>
    <w:unhideWhenUsed/>
    <w:rsid w:val="00200D03"/>
    <w:pPr>
      <w:tabs>
        <w:tab w:val="clear" w:pos="567"/>
      </w:tabs>
      <w:snapToGrid/>
    </w:pPr>
    <w:rPr>
      <w:rFonts w:eastAsia="Arial" w:cs="Arial"/>
      <w:snapToGrid/>
      <w:sz w:val="20"/>
      <w:szCs w:val="20"/>
      <w:lang w:val="en-US" w:eastAsia="en-GB"/>
    </w:rPr>
  </w:style>
  <w:style w:type="character" w:customStyle="1" w:styleId="NotedefinCar">
    <w:name w:val="Note de fin Car"/>
    <w:basedOn w:val="Policepardfaut"/>
    <w:link w:val="Notedefin"/>
    <w:uiPriority w:val="99"/>
    <w:rsid w:val="00200D03"/>
    <w:rPr>
      <w:rFonts w:ascii="Arial" w:eastAsia="Arial" w:hAnsi="Arial" w:cs="Arial"/>
      <w:lang w:val="en-US" w:eastAsia="en-GB"/>
    </w:rPr>
  </w:style>
  <w:style w:type="paragraph" w:customStyle="1" w:styleId="Tabledesillustrations1">
    <w:name w:val="Table des illustrations1"/>
    <w:basedOn w:val="Normal"/>
    <w:next w:val="Normal"/>
    <w:uiPriority w:val="99"/>
    <w:unhideWhenUsed/>
    <w:rsid w:val="00200D03"/>
    <w:pPr>
      <w:widowControl w:val="0"/>
      <w:tabs>
        <w:tab w:val="clear" w:pos="567"/>
      </w:tabs>
      <w:snapToGrid/>
      <w:spacing w:line="276" w:lineRule="auto"/>
    </w:pPr>
    <w:rPr>
      <w:rFonts w:ascii="Fira Sans Light" w:eastAsia="Calibri" w:hAnsi="Fira Sans Light" w:cs="Arial"/>
      <w:snapToGrid/>
      <w:sz w:val="20"/>
      <w:szCs w:val="22"/>
      <w:lang w:val="en-US"/>
    </w:rPr>
  </w:style>
  <w:style w:type="paragraph" w:customStyle="1" w:styleId="Objetducommentaire1">
    <w:name w:val="Objet du commentaire1"/>
    <w:basedOn w:val="Commentaire"/>
    <w:next w:val="Commentaire"/>
    <w:uiPriority w:val="99"/>
    <w:semiHidden/>
    <w:unhideWhenUsed/>
    <w:rsid w:val="00200D03"/>
    <w:pPr>
      <w:widowControl w:val="0"/>
      <w:spacing w:after="200"/>
    </w:pPr>
    <w:rPr>
      <w:rFonts w:ascii="Fira Sans Light" w:eastAsia="Calibri" w:hAnsi="Fira Sans Light"/>
      <w:b/>
      <w:bCs/>
      <w:lang w:eastAsia="en-US"/>
    </w:rPr>
  </w:style>
  <w:style w:type="character" w:customStyle="1" w:styleId="ObjetducommentaireCar">
    <w:name w:val="Objet du commentaire Car"/>
    <w:basedOn w:val="CommentaireCar"/>
    <w:link w:val="Objetducommentaire"/>
    <w:uiPriority w:val="99"/>
    <w:semiHidden/>
    <w:rsid w:val="00200D03"/>
    <w:rPr>
      <w:rFonts w:ascii="Fira Sans Light" w:eastAsia="Arial" w:hAnsi="Fira Sans Light" w:cs="Arial"/>
      <w:b/>
      <w:bCs/>
      <w:snapToGrid w:val="0"/>
      <w:sz w:val="20"/>
      <w:szCs w:val="20"/>
      <w:lang w:val="en-US" w:eastAsia="en-GB"/>
    </w:rPr>
  </w:style>
  <w:style w:type="paragraph" w:styleId="NormalWeb">
    <w:name w:val="Normal (Web)"/>
    <w:basedOn w:val="Normal"/>
    <w:uiPriority w:val="99"/>
    <w:unhideWhenUsed/>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Lienhypertextesuivivisit1">
    <w:name w:val="Lien hypertexte suivi visité1"/>
    <w:basedOn w:val="Policepardfaut"/>
    <w:uiPriority w:val="99"/>
    <w:semiHidden/>
    <w:unhideWhenUsed/>
    <w:rsid w:val="00200D03"/>
    <w:rPr>
      <w:color w:val="800080"/>
      <w:u w:val="single"/>
    </w:rPr>
  </w:style>
  <w:style w:type="character" w:customStyle="1" w:styleId="UnresolvedMention1">
    <w:name w:val="Unresolved Mention1"/>
    <w:basedOn w:val="Policepardfaut"/>
    <w:uiPriority w:val="99"/>
    <w:semiHidden/>
    <w:unhideWhenUsed/>
    <w:rsid w:val="00200D03"/>
    <w:rPr>
      <w:color w:val="605E5C"/>
      <w:shd w:val="clear" w:color="auto" w:fill="E1DFDD"/>
    </w:rPr>
  </w:style>
  <w:style w:type="table" w:styleId="Grilledutableau">
    <w:name w:val="Table Grid"/>
    <w:basedOn w:val="TableauNormal"/>
    <w:rsid w:val="0020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1"/>
    <w:semiHidden/>
    <w:unhideWhenUsed/>
    <w:rsid w:val="00200D03"/>
    <w:rPr>
      <w:rFonts w:ascii="Segoe UI" w:hAnsi="Segoe UI" w:cs="Segoe UI"/>
      <w:sz w:val="18"/>
      <w:szCs w:val="18"/>
    </w:rPr>
  </w:style>
  <w:style w:type="character" w:customStyle="1" w:styleId="TextedebullesCar1">
    <w:name w:val="Texte de bulles Car1"/>
    <w:basedOn w:val="Policepardfaut"/>
    <w:link w:val="Textedebulles"/>
    <w:semiHidden/>
    <w:rsid w:val="00200D03"/>
    <w:rPr>
      <w:rFonts w:ascii="Segoe UI" w:hAnsi="Segoe UI" w:cs="Segoe UI"/>
      <w:snapToGrid w:val="0"/>
      <w:sz w:val="18"/>
      <w:szCs w:val="18"/>
      <w:lang w:eastAsia="en-US"/>
    </w:rPr>
  </w:style>
  <w:style w:type="paragraph" w:styleId="Sansinterligne">
    <w:name w:val="No Spacing"/>
    <w:uiPriority w:val="1"/>
    <w:qFormat/>
    <w:rsid w:val="00200D03"/>
    <w:pPr>
      <w:tabs>
        <w:tab w:val="left" w:pos="567"/>
      </w:tabs>
      <w:snapToGrid w:val="0"/>
    </w:pPr>
    <w:rPr>
      <w:rFonts w:ascii="Arial" w:hAnsi="Arial"/>
      <w:snapToGrid w:val="0"/>
      <w:sz w:val="22"/>
      <w:szCs w:val="24"/>
      <w:lang w:eastAsia="en-US"/>
    </w:rPr>
  </w:style>
  <w:style w:type="character" w:styleId="Lienhypertexte">
    <w:name w:val="Hyperlink"/>
    <w:basedOn w:val="Policepardfaut"/>
    <w:rsid w:val="00200D03"/>
    <w:rPr>
      <w:color w:val="0563C1" w:themeColor="hyperlink"/>
      <w:u w:val="single"/>
    </w:rPr>
  </w:style>
  <w:style w:type="paragraph" w:styleId="Paragraphedeliste">
    <w:name w:val="List Paragraph"/>
    <w:basedOn w:val="Normal"/>
    <w:uiPriority w:val="34"/>
    <w:qFormat/>
    <w:rsid w:val="00200D03"/>
    <w:pPr>
      <w:ind w:left="720"/>
      <w:contextualSpacing/>
    </w:pPr>
  </w:style>
  <w:style w:type="paragraph" w:styleId="Objetducommentaire">
    <w:name w:val="annotation subject"/>
    <w:basedOn w:val="Commentaire"/>
    <w:next w:val="Commentaire"/>
    <w:link w:val="ObjetducommentaireCar"/>
    <w:uiPriority w:val="99"/>
    <w:semiHidden/>
    <w:unhideWhenUsed/>
    <w:rsid w:val="00200D03"/>
    <w:pPr>
      <w:tabs>
        <w:tab w:val="left" w:pos="567"/>
      </w:tabs>
      <w:snapToGrid w:val="0"/>
    </w:pPr>
    <w:rPr>
      <w:rFonts w:ascii="Fira Sans Light" w:hAnsi="Fira Sans Light"/>
      <w:b/>
      <w:bCs/>
      <w:snapToGrid w:val="0"/>
    </w:rPr>
  </w:style>
  <w:style w:type="character" w:customStyle="1" w:styleId="ObjetducommentaireCar1">
    <w:name w:val="Objet du commentaire Car1"/>
    <w:basedOn w:val="CommentaireCar"/>
    <w:semiHidden/>
    <w:rsid w:val="00200D03"/>
    <w:rPr>
      <w:rFonts w:ascii="Arial" w:eastAsia="Arial" w:hAnsi="Arial" w:cs="Arial"/>
      <w:b/>
      <w:bCs/>
      <w:lang w:val="en-US" w:eastAsia="en-GB"/>
    </w:rPr>
  </w:style>
  <w:style w:type="character" w:styleId="Lienhypertextesuivivisit">
    <w:name w:val="FollowedHyperlink"/>
    <w:basedOn w:val="Policepardfaut"/>
    <w:rsid w:val="00200D03"/>
    <w:rPr>
      <w:color w:val="954F72" w:themeColor="followedHyperlink"/>
      <w:u w:val="single"/>
    </w:rPr>
  </w:style>
  <w:style w:type="character" w:customStyle="1" w:styleId="MargeChar">
    <w:name w:val="Marge Char"/>
    <w:link w:val="Marge"/>
    <w:uiPriority w:val="99"/>
    <w:rsid w:val="00344693"/>
    <w:rPr>
      <w:rFonts w:ascii="Arial" w:hAnsi="Arial"/>
      <w:snapToGrid w:val="0"/>
      <w:sz w:val="22"/>
      <w:szCs w:val="24"/>
      <w:lang w:eastAsia="en-US"/>
    </w:rPr>
  </w:style>
  <w:style w:type="character" w:styleId="Mentionnonrsolue">
    <w:name w:val="Unresolved Mention"/>
    <w:basedOn w:val="Policepardfaut"/>
    <w:uiPriority w:val="99"/>
    <w:semiHidden/>
    <w:unhideWhenUsed/>
    <w:rsid w:val="000E79DE"/>
    <w:rPr>
      <w:color w:val="605E5C"/>
      <w:shd w:val="clear" w:color="auto" w:fill="E1DFDD"/>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Appelnotedebasdep"/>
    <w:rsid w:val="0047625D"/>
    <w:pPr>
      <w:tabs>
        <w:tab w:val="clear" w:pos="567"/>
      </w:tabs>
      <w:snapToGrid/>
      <w:spacing w:before="120" w:after="160" w:line="240" w:lineRule="exact"/>
    </w:pPr>
    <w:rPr>
      <w:rFonts w:ascii="Times New Roman" w:hAnsi="Times New Roman"/>
      <w:snapToGrid/>
      <w:sz w:val="20"/>
      <w:szCs w:val="20"/>
      <w:vertAlign w:val="superscript"/>
      <w:lang w:eastAsia="fr-FR"/>
    </w:rPr>
  </w:style>
  <w:style w:type="character" w:customStyle="1" w:styleId="NotedebasdepageCar">
    <w:name w:val="Note de bas de page Car"/>
    <w:basedOn w:val="Policepardfaut"/>
    <w:link w:val="Notedebasdepage"/>
    <w:semiHidden/>
    <w:rsid w:val="00094412"/>
    <w:rPr>
      <w:rFonts w:ascii="Arial" w:hAnsi="Arial"/>
      <w:snapToGrid w:val="0"/>
      <w:lang w:eastAsia="en-US"/>
    </w:rPr>
  </w:style>
  <w:style w:type="table" w:customStyle="1" w:styleId="Grilledutableau11">
    <w:name w:val="Grille du tableau11"/>
    <w:basedOn w:val="TableauNormal"/>
    <w:next w:val="Grilledutableau"/>
    <w:uiPriority w:val="39"/>
    <w:rsid w:val="00356366"/>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53789"/>
    <w:rPr>
      <w:rFonts w:ascii="Arial" w:hAnsi="Arial"/>
      <w:snapToGrid w:val="0"/>
      <w:sz w:val="22"/>
      <w:szCs w:val="24"/>
      <w:lang w:eastAsia="en-US"/>
    </w:rPr>
  </w:style>
  <w:style w:type="paragraph" w:customStyle="1" w:styleId="COI">
    <w:name w:val="COI"/>
    <w:basedOn w:val="Marge"/>
    <w:link w:val="COIChar"/>
    <w:autoRedefine/>
    <w:rsid w:val="00B34C37"/>
    <w:pPr>
      <w:tabs>
        <w:tab w:val="clear" w:pos="567"/>
      </w:tabs>
      <w:spacing w:after="120"/>
      <w:ind w:left="1134" w:hanging="567"/>
    </w:pPr>
    <w:rPr>
      <w:rFonts w:eastAsia="Arial Unicode MS"/>
      <w:szCs w:val="22"/>
      <w:lang w:val="en-GB"/>
    </w:rPr>
  </w:style>
  <w:style w:type="character" w:customStyle="1" w:styleId="COIChar">
    <w:name w:val="COI Char"/>
    <w:link w:val="COI"/>
    <w:rsid w:val="00B34C37"/>
    <w:rPr>
      <w:rFonts w:ascii="Arial" w:eastAsia="Arial Unicode MS" w:hAnsi="Arial"/>
      <w:snapToGrid w:val="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93464.locale=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_masseau\AppData\Roaming\Microsoft\Templat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606FC-844B-8746-89EA-416AC9D5385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Template>
  <TotalTime>89</TotalTime>
  <Pages>6</Pages>
  <Words>2465</Words>
  <Characters>13606</Characters>
  <Application>Microsoft Office Word</Application>
  <DocSecurity>0</DocSecurity>
  <Lines>209</Lines>
  <Paragraphs>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Projet de mandat révisé du Comité consultatif de la Décennie</vt:lpstr>
      <vt:lpstr/>
    </vt:vector>
  </TitlesOfParts>
  <Company>Unesco</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mandat révisé du Comité consultatif de la Décennie</dc:title>
  <dc:subject>IOC/A-33/4.8.Doc(3)</dc:subject>
  <dc:creator>Obradovic, Aleksandra</dc:creator>
  <cp:keywords/>
  <dc:description/>
  <cp:lastModifiedBy>Masseau, Alexandra</cp:lastModifiedBy>
  <cp:revision>13</cp:revision>
  <cp:lastPrinted>2022-05-04T08:19:00Z</cp:lastPrinted>
  <dcterms:created xsi:type="dcterms:W3CDTF">2025-04-28T15:31:00Z</dcterms:created>
  <dcterms:modified xsi:type="dcterms:W3CDTF">2025-04-29T08:38:00Z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202301715</vt:lpwstr>
  </property>
  <property fmtid="{D5CDD505-2E9C-101B-9397-08002B2CF9AE}" pid="3" name="Language">
    <vt:lpwstr>F</vt:lpwstr>
  </property>
  <property fmtid="{D5CDD505-2E9C-101B-9397-08002B2CF9AE}" pid="4" name="JobNumber">
    <vt:lpwstr>2500420F</vt:lpwstr>
  </property>
  <property fmtid="{D5CDD505-2E9C-101B-9397-08002B2CF9AE}" pid="5" name="ForceJobNumber">
    <vt:bool>false</vt:bool>
  </property>
</Properties>
</file>