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694D8" w14:textId="77777777" w:rsidR="00E75CF6" w:rsidRPr="006D3998" w:rsidRDefault="00E75C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tblGrid>
      <w:tr w:rsidR="00B83068" w:rsidRPr="006E1454" w14:paraId="6E70F37C" w14:textId="77777777" w:rsidTr="00AA2CD5">
        <w:trPr>
          <w:jc w:val="center"/>
        </w:trPr>
        <w:tc>
          <w:tcPr>
            <w:tcW w:w="7792" w:type="dxa"/>
            <w:tcMar>
              <w:top w:w="170" w:type="dxa"/>
              <w:left w:w="170" w:type="dxa"/>
              <w:bottom w:w="170" w:type="dxa"/>
              <w:right w:w="170" w:type="dxa"/>
            </w:tcMar>
          </w:tcPr>
          <w:p w14:paraId="73D9152E" w14:textId="77777777" w:rsidR="00467E3F" w:rsidRPr="006E1454" w:rsidRDefault="00B83068" w:rsidP="00853565">
            <w:pPr>
              <w:pStyle w:val="Marge"/>
              <w:jc w:val="center"/>
              <w:rPr>
                <w:rFonts w:cs="Arial"/>
                <w:szCs w:val="22"/>
              </w:rPr>
            </w:pPr>
            <w:r w:rsidRPr="006E1454">
              <w:rPr>
                <w:rFonts w:cs="Arial"/>
                <w:szCs w:val="22"/>
                <w:u w:val="single"/>
              </w:rPr>
              <w:t>Summary</w:t>
            </w:r>
          </w:p>
          <w:p w14:paraId="1502659F" w14:textId="797E1608" w:rsidR="00737A18" w:rsidRPr="001370E4" w:rsidRDefault="000D16AC" w:rsidP="00602A67">
            <w:pPr>
              <w:pStyle w:val="Marge"/>
              <w:spacing w:after="200"/>
              <w:rPr>
                <w:rFonts w:cs="Arial"/>
                <w:szCs w:val="22"/>
              </w:rPr>
            </w:pPr>
            <w:r w:rsidRPr="001370E4">
              <w:rPr>
                <w:rFonts w:cs="Arial"/>
              </w:rPr>
              <w:t>According to Art</w:t>
            </w:r>
            <w:r w:rsidR="0037249C" w:rsidRPr="001370E4">
              <w:rPr>
                <w:rFonts w:cs="Arial"/>
              </w:rPr>
              <w:t>icle</w:t>
            </w:r>
            <w:r w:rsidRPr="001370E4">
              <w:rPr>
                <w:rFonts w:cs="Arial"/>
              </w:rPr>
              <w:t xml:space="preserve"> 3.2 of the</w:t>
            </w:r>
            <w:r w:rsidR="002B7A48">
              <w:rPr>
                <w:rFonts w:cs="Arial"/>
              </w:rPr>
              <w:t xml:space="preserve"> </w:t>
            </w:r>
            <w:r w:rsidRPr="001370E4">
              <w:rPr>
                <w:rFonts w:cs="Arial"/>
              </w:rPr>
              <w:t xml:space="preserve">Statutes </w:t>
            </w:r>
            <w:r w:rsidR="0038059E">
              <w:rPr>
                <w:rFonts w:cs="Arial"/>
              </w:rPr>
              <w:t xml:space="preserve">of the Intergovernmental Oceanographic Commission </w:t>
            </w:r>
            <w:r w:rsidR="002B7A48">
              <w:rPr>
                <w:rFonts w:cs="Arial"/>
              </w:rPr>
              <w:t>(</w:t>
            </w:r>
            <w:hyperlink r:id="rId8" w:history="1">
              <w:r w:rsidR="002B7A48" w:rsidRPr="002B7A48">
                <w:rPr>
                  <w:rStyle w:val="Hyperlink"/>
                  <w:rFonts w:cs="Arial"/>
                </w:rPr>
                <w:t>IOC/INF/1148</w:t>
              </w:r>
            </w:hyperlink>
            <w:r w:rsidR="002B7A48">
              <w:rPr>
                <w:rFonts w:cs="Arial"/>
              </w:rPr>
              <w:t xml:space="preserve">) </w:t>
            </w:r>
            <w:r w:rsidRPr="001370E4">
              <w:rPr>
                <w:rFonts w:cs="Arial"/>
              </w:rPr>
              <w:t>and Rule of Procedure</w:t>
            </w:r>
            <w:r w:rsidR="002B7A48">
              <w:t xml:space="preserve"> </w:t>
            </w:r>
            <w:r w:rsidR="002B7A48" w:rsidRPr="00253D4A">
              <w:rPr>
                <w:rFonts w:cs="Arial"/>
              </w:rPr>
              <w:t>49.2</w:t>
            </w:r>
            <w:r w:rsidR="002B7A48">
              <w:t xml:space="preserve"> (</w:t>
            </w:r>
            <w:hyperlink r:id="rId9" w:history="1">
              <w:r w:rsidR="002B7A48" w:rsidRPr="002B7A48">
                <w:rPr>
                  <w:rStyle w:val="Hyperlink"/>
                  <w:rFonts w:cs="Arial"/>
                </w:rPr>
                <w:t>IOC/INF/1166</w:t>
              </w:r>
            </w:hyperlink>
            <w:r w:rsidR="002B7A48">
              <w:rPr>
                <w:rFonts w:cs="Arial"/>
              </w:rPr>
              <w:t>)</w:t>
            </w:r>
            <w:r w:rsidRPr="001370E4">
              <w:rPr>
                <w:rFonts w:cs="Arial"/>
              </w:rPr>
              <w:t>, the IOC prepares regular reports on its activities, which shall be submitted to the General Conference of UNESCO. The</w:t>
            </w:r>
            <w:r w:rsidR="00040227" w:rsidRPr="001370E4">
              <w:rPr>
                <w:rFonts w:cs="Arial"/>
              </w:rPr>
              <w:t xml:space="preserve"> present</w:t>
            </w:r>
            <w:r w:rsidRPr="001370E4">
              <w:rPr>
                <w:rFonts w:cs="Arial"/>
              </w:rPr>
              <w:t xml:space="preserve"> report cover</w:t>
            </w:r>
            <w:r w:rsidR="006E7073" w:rsidRPr="001370E4">
              <w:rPr>
                <w:rFonts w:cs="Arial"/>
              </w:rPr>
              <w:t>s</w:t>
            </w:r>
            <w:r w:rsidRPr="001370E4">
              <w:rPr>
                <w:rFonts w:cs="Arial"/>
              </w:rPr>
              <w:t xml:space="preserve"> the period </w:t>
            </w:r>
            <w:r w:rsidR="00EA6DDF" w:rsidRPr="001370E4">
              <w:rPr>
                <w:rFonts w:cs="Arial"/>
              </w:rPr>
              <w:t>20</w:t>
            </w:r>
            <w:r w:rsidR="000B276A">
              <w:rPr>
                <w:rFonts w:cs="Arial"/>
              </w:rPr>
              <w:t>2</w:t>
            </w:r>
            <w:r w:rsidR="00DE4579">
              <w:rPr>
                <w:rFonts w:cs="Arial"/>
              </w:rPr>
              <w:t>4</w:t>
            </w:r>
            <w:r w:rsidR="0037249C" w:rsidRPr="001370E4">
              <w:rPr>
                <w:rFonts w:cs="Arial"/>
              </w:rPr>
              <w:t>–</w:t>
            </w:r>
            <w:r w:rsidR="00EA6DDF" w:rsidRPr="001370E4">
              <w:rPr>
                <w:rFonts w:cs="Arial"/>
              </w:rPr>
              <w:t>20</w:t>
            </w:r>
            <w:r w:rsidR="000B276A">
              <w:rPr>
                <w:rFonts w:cs="Arial"/>
              </w:rPr>
              <w:t>2</w:t>
            </w:r>
            <w:r w:rsidR="00DE4579">
              <w:rPr>
                <w:rFonts w:cs="Arial"/>
              </w:rPr>
              <w:t>5</w:t>
            </w:r>
            <w:r w:rsidRPr="001370E4">
              <w:rPr>
                <w:rFonts w:cs="Arial"/>
              </w:rPr>
              <w:t xml:space="preserve"> and focus</w:t>
            </w:r>
            <w:r w:rsidR="006E7073" w:rsidRPr="001370E4">
              <w:rPr>
                <w:rFonts w:cs="Arial"/>
              </w:rPr>
              <w:t>es</w:t>
            </w:r>
            <w:r w:rsidRPr="001370E4">
              <w:rPr>
                <w:rFonts w:cs="Arial"/>
              </w:rPr>
              <w:t xml:space="preserve"> on the main achievements in the implementation </w:t>
            </w:r>
            <w:r w:rsidRPr="001370E4">
              <w:rPr>
                <w:rFonts w:cs="Arial"/>
                <w:szCs w:val="22"/>
              </w:rPr>
              <w:t xml:space="preserve">of the </w:t>
            </w:r>
            <w:r w:rsidR="00FB6A51">
              <w:rPr>
                <w:rFonts w:cs="Arial"/>
                <w:szCs w:val="22"/>
              </w:rPr>
              <w:t>first</w:t>
            </w:r>
            <w:r w:rsidR="00515584" w:rsidRPr="001370E4">
              <w:rPr>
                <w:rFonts w:cs="Arial"/>
                <w:szCs w:val="22"/>
              </w:rPr>
              <w:t xml:space="preserve"> biennium of the IOC Programme and Budget 20</w:t>
            </w:r>
            <w:r w:rsidR="00FB6A51">
              <w:rPr>
                <w:rFonts w:cs="Arial"/>
                <w:szCs w:val="22"/>
              </w:rPr>
              <w:t>2</w:t>
            </w:r>
            <w:r w:rsidR="00DE4579">
              <w:rPr>
                <w:rFonts w:cs="Arial"/>
                <w:szCs w:val="22"/>
              </w:rPr>
              <w:t>4</w:t>
            </w:r>
            <w:r w:rsidR="0037249C" w:rsidRPr="001370E4">
              <w:rPr>
                <w:rFonts w:cs="Arial"/>
                <w:szCs w:val="22"/>
              </w:rPr>
              <w:t>–</w:t>
            </w:r>
            <w:r w:rsidR="00515584" w:rsidRPr="001370E4">
              <w:rPr>
                <w:rFonts w:cs="Arial"/>
                <w:szCs w:val="22"/>
              </w:rPr>
              <w:t>202</w:t>
            </w:r>
            <w:r w:rsidR="00FB6A51">
              <w:rPr>
                <w:rFonts w:cs="Arial"/>
                <w:szCs w:val="22"/>
              </w:rPr>
              <w:t>5</w:t>
            </w:r>
            <w:r w:rsidR="00515584" w:rsidRPr="001370E4">
              <w:rPr>
                <w:rFonts w:cs="Arial"/>
                <w:szCs w:val="22"/>
              </w:rPr>
              <w:t xml:space="preserve">, contributing to </w:t>
            </w:r>
            <w:r w:rsidR="000B276A" w:rsidRPr="005F6E3A">
              <w:rPr>
                <w:rFonts w:cs="Arial"/>
                <w:i/>
                <w:iCs/>
                <w:szCs w:val="22"/>
              </w:rPr>
              <w:t xml:space="preserve">IOC’s </w:t>
            </w:r>
            <w:r w:rsidR="0031161D" w:rsidRPr="005F6E3A">
              <w:rPr>
                <w:rFonts w:cs="Arial"/>
                <w:i/>
                <w:iCs/>
                <w:szCs w:val="22"/>
              </w:rPr>
              <w:t>Medium-Term</w:t>
            </w:r>
            <w:r w:rsidR="000B276A" w:rsidRPr="005F6E3A">
              <w:rPr>
                <w:rFonts w:cs="Arial"/>
                <w:i/>
                <w:iCs/>
                <w:szCs w:val="22"/>
              </w:rPr>
              <w:t xml:space="preserve"> Strategy 20</w:t>
            </w:r>
            <w:r w:rsidR="00FB6A51" w:rsidRPr="005F6E3A">
              <w:rPr>
                <w:rFonts w:cs="Arial"/>
                <w:i/>
                <w:iCs/>
                <w:szCs w:val="22"/>
              </w:rPr>
              <w:t>22</w:t>
            </w:r>
            <w:r w:rsidR="003B5530" w:rsidRPr="005F6E3A">
              <w:rPr>
                <w:rFonts w:cs="Arial"/>
                <w:i/>
                <w:iCs/>
                <w:szCs w:val="22"/>
              </w:rPr>
              <w:t>–</w:t>
            </w:r>
            <w:r w:rsidR="000B276A" w:rsidRPr="005F6E3A">
              <w:rPr>
                <w:rFonts w:cs="Arial"/>
                <w:i/>
                <w:iCs/>
                <w:szCs w:val="22"/>
              </w:rPr>
              <w:t>202</w:t>
            </w:r>
            <w:r w:rsidR="00FB6A51" w:rsidRPr="005F6E3A">
              <w:rPr>
                <w:rFonts w:cs="Arial"/>
                <w:i/>
                <w:iCs/>
                <w:szCs w:val="22"/>
              </w:rPr>
              <w:t>9</w:t>
            </w:r>
            <w:r w:rsidR="000B276A">
              <w:rPr>
                <w:rFonts w:cs="Arial"/>
                <w:szCs w:val="22"/>
              </w:rPr>
              <w:t xml:space="preserve"> </w:t>
            </w:r>
            <w:r w:rsidR="00DE4579">
              <w:rPr>
                <w:rFonts w:cs="Arial"/>
                <w:szCs w:val="22"/>
              </w:rPr>
              <w:t>and its High Level Objectives, as well as</w:t>
            </w:r>
            <w:r w:rsidR="000B276A">
              <w:rPr>
                <w:rFonts w:cs="Arial"/>
                <w:szCs w:val="22"/>
              </w:rPr>
              <w:t xml:space="preserve"> </w:t>
            </w:r>
            <w:r w:rsidRPr="001370E4">
              <w:rPr>
                <w:rFonts w:cs="Arial"/>
                <w:szCs w:val="22"/>
              </w:rPr>
              <w:t>UNESCO Medium-term Strategy 20</w:t>
            </w:r>
            <w:r w:rsidR="00FB6A51">
              <w:rPr>
                <w:rFonts w:cs="Arial"/>
                <w:szCs w:val="22"/>
              </w:rPr>
              <w:t>22</w:t>
            </w:r>
            <w:r w:rsidRPr="001370E4">
              <w:rPr>
                <w:rFonts w:cs="Arial"/>
                <w:szCs w:val="22"/>
              </w:rPr>
              <w:t>–20</w:t>
            </w:r>
            <w:r w:rsidR="008E3DD1" w:rsidRPr="001370E4">
              <w:rPr>
                <w:rFonts w:cs="Arial"/>
                <w:szCs w:val="22"/>
              </w:rPr>
              <w:t>2</w:t>
            </w:r>
            <w:r w:rsidR="00FB6A51">
              <w:rPr>
                <w:rFonts w:cs="Arial"/>
                <w:szCs w:val="22"/>
              </w:rPr>
              <w:t>9</w:t>
            </w:r>
            <w:r w:rsidRPr="001370E4">
              <w:rPr>
                <w:rFonts w:cs="Arial"/>
                <w:szCs w:val="22"/>
              </w:rPr>
              <w:t xml:space="preserve"> (</w:t>
            </w:r>
            <w:r w:rsidR="00D71125">
              <w:rPr>
                <w:rFonts w:cs="Arial"/>
                <w:szCs w:val="22"/>
              </w:rPr>
              <w:t>41</w:t>
            </w:r>
            <w:r w:rsidRPr="001370E4">
              <w:rPr>
                <w:rFonts w:cs="Arial"/>
                <w:szCs w:val="22"/>
              </w:rPr>
              <w:t xml:space="preserve"> C/4) with respect to </w:t>
            </w:r>
            <w:r w:rsidRPr="000E6EE5">
              <w:rPr>
                <w:rFonts w:cs="Arial"/>
                <w:szCs w:val="22"/>
              </w:rPr>
              <w:t>Strategic Objective</w:t>
            </w:r>
            <w:r w:rsidR="0037249C" w:rsidRPr="000E6EE5">
              <w:rPr>
                <w:rFonts w:cs="Arial"/>
                <w:szCs w:val="22"/>
              </w:rPr>
              <w:t> </w:t>
            </w:r>
            <w:r w:rsidR="00387AE8" w:rsidRPr="000E6EE5">
              <w:rPr>
                <w:rFonts w:cs="Arial"/>
                <w:szCs w:val="22"/>
              </w:rPr>
              <w:t>2</w:t>
            </w:r>
            <w:r w:rsidRPr="000E6EE5">
              <w:rPr>
                <w:rFonts w:cs="Arial"/>
                <w:szCs w:val="22"/>
              </w:rPr>
              <w:t xml:space="preserve"> </w:t>
            </w:r>
            <w:r w:rsidR="003B5530">
              <w:rPr>
                <w:rFonts w:cs="Arial"/>
                <w:szCs w:val="22"/>
              </w:rPr>
              <w:t>‘</w:t>
            </w:r>
            <w:r w:rsidR="00801754" w:rsidRPr="000E6EE5">
              <w:rPr>
                <w:rFonts w:cs="Arial"/>
                <w:szCs w:val="22"/>
              </w:rPr>
              <w:t>Work towards sustainable societies and protecting the environment through the promotion of science, technology, innovation and the natural heritage</w:t>
            </w:r>
            <w:r w:rsidR="000278A0" w:rsidRPr="000E6EE5">
              <w:rPr>
                <w:rFonts w:cs="Arial"/>
                <w:szCs w:val="22"/>
              </w:rPr>
              <w:t>’ and Outcome 3 ‘</w:t>
            </w:r>
            <w:r w:rsidR="000E6EE5" w:rsidRPr="000E6EE5">
              <w:rPr>
                <w:rFonts w:cs="Arial"/>
                <w:szCs w:val="22"/>
              </w:rPr>
              <w:t>Enhance knowledge for climate action, biodiversity, water and ocean management, and disaster risk reduction</w:t>
            </w:r>
            <w:r w:rsidR="003B5530">
              <w:rPr>
                <w:rFonts w:cs="Arial"/>
                <w:szCs w:val="22"/>
              </w:rPr>
              <w:t>’</w:t>
            </w:r>
            <w:r w:rsidR="000E6EE5" w:rsidRPr="000E6EE5">
              <w:rPr>
                <w:rFonts w:cs="Arial"/>
                <w:szCs w:val="22"/>
              </w:rPr>
              <w:t>.</w:t>
            </w:r>
            <w:r w:rsidR="00F7009F" w:rsidRPr="001370E4">
              <w:rPr>
                <w:rFonts w:cs="Arial"/>
                <w:szCs w:val="22"/>
              </w:rPr>
              <w:t xml:space="preserve"> </w:t>
            </w:r>
          </w:p>
          <w:p w14:paraId="5B3F6C6A" w14:textId="3EE2F343" w:rsidR="00515584" w:rsidRPr="00EC753F" w:rsidRDefault="00515584" w:rsidP="00602A67">
            <w:pPr>
              <w:pStyle w:val="Marge"/>
              <w:spacing w:after="200"/>
              <w:rPr>
                <w:rFonts w:cs="Arial"/>
                <w:szCs w:val="22"/>
              </w:rPr>
            </w:pPr>
            <w:r w:rsidRPr="001370E4">
              <w:rPr>
                <w:rFonts w:cs="Arial"/>
              </w:rPr>
              <w:t>Upon consideration by the Assembly, the report</w:t>
            </w:r>
            <w:r w:rsidR="007E4F92" w:rsidRPr="001370E4">
              <w:rPr>
                <w:rFonts w:cs="Arial"/>
              </w:rPr>
              <w:t xml:space="preserve"> </w:t>
            </w:r>
            <w:r w:rsidRPr="001370E4">
              <w:rPr>
                <w:rFonts w:cs="Arial"/>
              </w:rPr>
              <w:t>will be presented to the 4</w:t>
            </w:r>
            <w:r w:rsidR="00DE4579">
              <w:rPr>
                <w:rFonts w:cs="Arial"/>
              </w:rPr>
              <w:t>3</w:t>
            </w:r>
            <w:r w:rsidR="00DE4579" w:rsidRPr="00DE4579">
              <w:rPr>
                <w:rFonts w:cs="Arial"/>
                <w:vertAlign w:val="superscript"/>
              </w:rPr>
              <w:t>rd</w:t>
            </w:r>
            <w:r w:rsidR="00DE4579">
              <w:rPr>
                <w:rFonts w:cs="Arial"/>
              </w:rPr>
              <w:t xml:space="preserve"> </w:t>
            </w:r>
            <w:r w:rsidRPr="001370E4">
              <w:rPr>
                <w:rFonts w:cs="Arial"/>
              </w:rPr>
              <w:t>General Conference of UNESCO</w:t>
            </w:r>
            <w:r w:rsidR="00155BA3">
              <w:rPr>
                <w:rFonts w:cs="Arial"/>
              </w:rPr>
              <w:t xml:space="preserve"> as </w:t>
            </w:r>
            <w:r w:rsidR="00155BA3" w:rsidRPr="00831211">
              <w:rPr>
                <w:rFonts w:cs="Arial"/>
              </w:rPr>
              <w:t>4</w:t>
            </w:r>
            <w:r w:rsidR="00DE4579">
              <w:rPr>
                <w:rFonts w:cs="Arial"/>
              </w:rPr>
              <w:t>3</w:t>
            </w:r>
            <w:r w:rsidR="00155BA3" w:rsidRPr="00831211">
              <w:rPr>
                <w:rFonts w:cs="Arial"/>
              </w:rPr>
              <w:t> C/REP</w:t>
            </w:r>
            <w:r w:rsidR="005F6E3A">
              <w:rPr>
                <w:rFonts w:cs="Arial"/>
              </w:rPr>
              <w:t>/__</w:t>
            </w:r>
            <w:r w:rsidR="00EC753F">
              <w:rPr>
                <w:rFonts w:cs="Arial"/>
              </w:rPr>
              <w:t>, indicating that a more complete information, including analysis by IOC function</w:t>
            </w:r>
            <w:r w:rsidR="002D52FA">
              <w:rPr>
                <w:rFonts w:cs="Arial"/>
              </w:rPr>
              <w:t>,</w:t>
            </w:r>
            <w:r w:rsidR="00EC753F">
              <w:rPr>
                <w:rFonts w:cs="Arial"/>
              </w:rPr>
              <w:t xml:space="preserve"> </w:t>
            </w:r>
            <w:r w:rsidR="00EC753F" w:rsidRPr="00EC753F">
              <w:rPr>
                <w:rFonts w:cs="Arial"/>
                <w:szCs w:val="22"/>
              </w:rPr>
              <w:t>can be found in the report of the IOC Executive Secretary to the 3</w:t>
            </w:r>
            <w:r w:rsidR="00DF41FC">
              <w:rPr>
                <w:rFonts w:cs="Arial"/>
                <w:szCs w:val="22"/>
              </w:rPr>
              <w:t>3</w:t>
            </w:r>
            <w:r w:rsidR="00DF41FC" w:rsidRPr="00DF41FC">
              <w:rPr>
                <w:rFonts w:cs="Arial"/>
                <w:szCs w:val="22"/>
                <w:vertAlign w:val="superscript"/>
              </w:rPr>
              <w:t>rd</w:t>
            </w:r>
            <w:r w:rsidR="00DF41FC">
              <w:rPr>
                <w:rFonts w:cs="Arial"/>
                <w:szCs w:val="22"/>
              </w:rPr>
              <w:t xml:space="preserve"> s</w:t>
            </w:r>
            <w:r w:rsidR="00EC753F" w:rsidRPr="00EC753F">
              <w:rPr>
                <w:rFonts w:cs="Arial"/>
                <w:szCs w:val="22"/>
              </w:rPr>
              <w:t xml:space="preserve">ession of the IOC Assembly </w:t>
            </w:r>
            <w:r w:rsidR="00EC753F" w:rsidRPr="00831211">
              <w:rPr>
                <w:rFonts w:cs="Arial"/>
                <w:szCs w:val="22"/>
              </w:rPr>
              <w:t>(</w:t>
            </w:r>
            <w:hyperlink r:id="rId10" w:history="1">
              <w:r w:rsidR="00EC753F" w:rsidRPr="003B5530">
                <w:rPr>
                  <w:rStyle w:val="Hyperlink"/>
                </w:rPr>
                <w:t>IOC/A-3</w:t>
              </w:r>
              <w:r w:rsidR="00DF41FC" w:rsidRPr="003B5530">
                <w:rPr>
                  <w:rStyle w:val="Hyperlink"/>
                </w:rPr>
                <w:t>3</w:t>
              </w:r>
              <w:r w:rsidR="00EC753F" w:rsidRPr="003B5530">
                <w:rPr>
                  <w:rStyle w:val="Hyperlink"/>
                </w:rPr>
                <w:t>/3.2.Doc(1)</w:t>
              </w:r>
            </w:hyperlink>
            <w:r w:rsidR="00EC753F" w:rsidRPr="003B5530">
              <w:rPr>
                <w:rFonts w:cs="Arial"/>
                <w:color w:val="000000"/>
                <w:szCs w:val="22"/>
              </w:rPr>
              <w:t xml:space="preserve"> &amp;</w:t>
            </w:r>
            <w:r w:rsidR="00EC753F" w:rsidRPr="005F6E3A">
              <w:rPr>
                <w:rFonts w:cs="Arial"/>
                <w:color w:val="000000"/>
                <w:szCs w:val="22"/>
              </w:rPr>
              <w:t xml:space="preserve"> </w:t>
            </w:r>
            <w:r w:rsidR="00EC753F" w:rsidRPr="005F6E3A">
              <w:t>Add</w:t>
            </w:r>
            <w:r w:rsidR="00EC753F" w:rsidRPr="005F6E3A">
              <w:t>e</w:t>
            </w:r>
            <w:r w:rsidR="00EC753F" w:rsidRPr="005F6E3A">
              <w:t>ndum</w:t>
            </w:r>
            <w:r w:rsidR="00EC753F" w:rsidRPr="005F6E3A">
              <w:rPr>
                <w:rFonts w:cs="Arial"/>
                <w:color w:val="000000"/>
                <w:szCs w:val="22"/>
              </w:rPr>
              <w:t>)</w:t>
            </w:r>
            <w:r w:rsidR="00242324" w:rsidRPr="005F6E3A">
              <w:rPr>
                <w:rFonts w:cs="Arial"/>
                <w:color w:val="000000"/>
                <w:szCs w:val="22"/>
              </w:rPr>
              <w:t>.</w:t>
            </w:r>
            <w:r w:rsidR="00EB52DB">
              <w:rPr>
                <w:rFonts w:cs="Arial"/>
                <w:color w:val="000000"/>
                <w:szCs w:val="22"/>
              </w:rPr>
              <w:t xml:space="preserve"> </w:t>
            </w:r>
          </w:p>
          <w:p w14:paraId="1082367C" w14:textId="1B29A076" w:rsidR="00515584" w:rsidRPr="006E1454" w:rsidRDefault="00515584" w:rsidP="00C008B0">
            <w:pPr>
              <w:pStyle w:val="Marge"/>
              <w:rPr>
                <w:rFonts w:cs="Arial"/>
                <w:szCs w:val="22"/>
              </w:rPr>
            </w:pPr>
            <w:r w:rsidRPr="001370E4">
              <w:rPr>
                <w:rFonts w:cs="Arial"/>
                <w:u w:val="single"/>
              </w:rPr>
              <w:t>The proposed decision(s)</w:t>
            </w:r>
            <w:r w:rsidRPr="001370E4">
              <w:rPr>
                <w:rFonts w:cs="Arial"/>
              </w:rPr>
              <w:t xml:space="preserve"> is referenced </w:t>
            </w:r>
            <w:r w:rsidR="00C008B0">
              <w:rPr>
                <w:rFonts w:cs="Arial"/>
                <w:bCs/>
                <w:color w:val="000000"/>
              </w:rPr>
              <w:t>A-3</w:t>
            </w:r>
            <w:r w:rsidR="00DF41FC">
              <w:rPr>
                <w:rFonts w:cs="Arial"/>
                <w:bCs/>
                <w:color w:val="000000"/>
              </w:rPr>
              <w:t>3</w:t>
            </w:r>
            <w:r w:rsidR="00C008B0">
              <w:rPr>
                <w:rFonts w:cs="Arial"/>
                <w:bCs/>
                <w:color w:val="000000"/>
              </w:rPr>
              <w:t>/</w:t>
            </w:r>
            <w:r w:rsidRPr="001370E4">
              <w:rPr>
                <w:rFonts w:cs="Arial"/>
                <w:bCs/>
                <w:color w:val="000000"/>
              </w:rPr>
              <w:t>Dec.3.</w:t>
            </w:r>
            <w:r w:rsidR="00D71125">
              <w:rPr>
                <w:rFonts w:cs="Arial"/>
                <w:bCs/>
                <w:color w:val="000000"/>
              </w:rPr>
              <w:t>5</w:t>
            </w:r>
            <w:r w:rsidRPr="001370E4">
              <w:rPr>
                <w:rFonts w:cs="Arial"/>
                <w:b/>
                <w:color w:val="000000"/>
              </w:rPr>
              <w:t xml:space="preserve"> </w:t>
            </w:r>
            <w:r w:rsidRPr="001370E4">
              <w:rPr>
                <w:rFonts w:cs="Arial"/>
              </w:rPr>
              <w:t xml:space="preserve">in the Provisional Action Paper </w:t>
            </w:r>
            <w:r w:rsidR="0037249C" w:rsidRPr="003B5530">
              <w:rPr>
                <w:rFonts w:cs="Arial"/>
              </w:rPr>
              <w:t>(</w:t>
            </w:r>
            <w:hyperlink r:id="rId11" w:history="1">
              <w:r w:rsidR="0037249C" w:rsidRPr="003B5530">
                <w:rPr>
                  <w:rStyle w:val="Hyperlink"/>
                  <w:rFonts w:cs="Arial"/>
                </w:rPr>
                <w:t>IOC</w:t>
              </w:r>
              <w:r w:rsidR="00C008B0" w:rsidRPr="003B5530">
                <w:rPr>
                  <w:rStyle w:val="Hyperlink"/>
                  <w:rFonts w:cs="Arial"/>
                </w:rPr>
                <w:t>/A-3</w:t>
              </w:r>
              <w:r w:rsidR="00DF41FC" w:rsidRPr="003B5530">
                <w:rPr>
                  <w:rStyle w:val="Hyperlink"/>
                  <w:rFonts w:cs="Arial"/>
                </w:rPr>
                <w:t>3</w:t>
              </w:r>
              <w:r w:rsidR="00C008B0" w:rsidRPr="003B5530">
                <w:rPr>
                  <w:rStyle w:val="Hyperlink"/>
                  <w:rFonts w:cs="Arial"/>
                </w:rPr>
                <w:t>/AP</w:t>
              </w:r>
            </w:hyperlink>
            <w:r w:rsidR="0037249C" w:rsidRPr="003B5530">
              <w:rPr>
                <w:rFonts w:cs="Arial"/>
              </w:rPr>
              <w:t>)</w:t>
            </w:r>
            <w:r w:rsidR="0037249C" w:rsidRPr="001370E4">
              <w:rPr>
                <w:rFonts w:cs="Arial"/>
              </w:rPr>
              <w:t xml:space="preserve"> </w:t>
            </w:r>
            <w:r w:rsidRPr="001370E4">
              <w:rPr>
                <w:rFonts w:cs="Arial"/>
              </w:rPr>
              <w:t>of the</w:t>
            </w:r>
            <w:r w:rsidR="00D71125" w:rsidRPr="00EC753F">
              <w:rPr>
                <w:rFonts w:cs="Arial"/>
                <w:szCs w:val="22"/>
              </w:rPr>
              <w:t xml:space="preserve"> 3</w:t>
            </w:r>
            <w:r w:rsidR="00DF41FC">
              <w:rPr>
                <w:rFonts w:cs="Arial"/>
                <w:szCs w:val="22"/>
              </w:rPr>
              <w:t>3</w:t>
            </w:r>
            <w:r w:rsidR="00DF41FC" w:rsidRPr="00DF41FC">
              <w:rPr>
                <w:rFonts w:cs="Arial"/>
                <w:szCs w:val="22"/>
                <w:vertAlign w:val="superscript"/>
              </w:rPr>
              <w:t>rd</w:t>
            </w:r>
            <w:r w:rsidR="00DF41FC">
              <w:rPr>
                <w:rFonts w:cs="Arial"/>
                <w:szCs w:val="22"/>
              </w:rPr>
              <w:t xml:space="preserve"> </w:t>
            </w:r>
            <w:r w:rsidR="00D71125">
              <w:rPr>
                <w:rFonts w:cs="Arial"/>
                <w:szCs w:val="22"/>
              </w:rPr>
              <w:t>s</w:t>
            </w:r>
            <w:r w:rsidR="0037249C" w:rsidRPr="001370E4">
              <w:rPr>
                <w:rFonts w:cs="Arial"/>
              </w:rPr>
              <w:t>ession</w:t>
            </w:r>
            <w:r w:rsidRPr="001370E4">
              <w:rPr>
                <w:rFonts w:cs="Arial"/>
              </w:rPr>
              <w:t xml:space="preserve"> of </w:t>
            </w:r>
            <w:r w:rsidR="00D71125">
              <w:rPr>
                <w:rFonts w:cs="Arial"/>
              </w:rPr>
              <w:t xml:space="preserve">the </w:t>
            </w:r>
            <w:r w:rsidRPr="001370E4">
              <w:rPr>
                <w:rFonts w:cs="Arial"/>
              </w:rPr>
              <w:t>IOC Assembly</w:t>
            </w:r>
            <w:r w:rsidR="0037249C" w:rsidRPr="001370E4">
              <w:rPr>
                <w:rFonts w:cs="Arial"/>
              </w:rPr>
              <w:t>.</w:t>
            </w:r>
          </w:p>
        </w:tc>
      </w:tr>
    </w:tbl>
    <w:p w14:paraId="7E39BDFA" w14:textId="2724C787" w:rsidR="00746B89" w:rsidRPr="006E1454" w:rsidRDefault="00746B89" w:rsidP="005C7A36">
      <w:pPr>
        <w:pStyle w:val="Heading3"/>
        <w:sectPr w:rsidR="00746B89" w:rsidRPr="006E1454" w:rsidSect="003F7186">
          <w:headerReference w:type="even" r:id="rId12"/>
          <w:headerReference w:type="default" r:id="rId13"/>
          <w:headerReference w:type="first" r:id="rId14"/>
          <w:type w:val="continuous"/>
          <w:pgSz w:w="11906" w:h="16838" w:code="9"/>
          <w:pgMar w:top="1418" w:right="1134" w:bottom="1134" w:left="1134" w:header="709" w:footer="680" w:gutter="0"/>
          <w:pgNumType w:start="1"/>
          <w:cols w:space="708"/>
          <w:titlePg/>
          <w:docGrid w:linePitch="360"/>
        </w:sectPr>
      </w:pPr>
    </w:p>
    <w:p w14:paraId="5EFCB24C" w14:textId="77777777" w:rsidR="000B7E2A" w:rsidRPr="003B5530" w:rsidRDefault="000B7E2A" w:rsidP="000B7E2A">
      <w:pPr>
        <w:keepNext/>
        <w:keepLines/>
        <w:widowControl w:val="0"/>
        <w:adjustRightInd w:val="0"/>
        <w:spacing w:after="240"/>
        <w:ind w:left="567" w:hanging="567"/>
        <w:jc w:val="both"/>
        <w:textAlignment w:val="baseline"/>
        <w:outlineLvl w:val="1"/>
        <w:rPr>
          <w:rFonts w:cs="Arial"/>
          <w:b/>
          <w:bCs/>
          <w:caps/>
          <w:color w:val="000000" w:themeColor="text1"/>
          <w:szCs w:val="22"/>
        </w:rPr>
      </w:pPr>
      <w:r w:rsidRPr="003B5530">
        <w:rPr>
          <w:rFonts w:cs="Arial"/>
          <w:b/>
          <w:bCs/>
          <w:color w:val="000000" w:themeColor="text1"/>
          <w:szCs w:val="22"/>
        </w:rPr>
        <w:lastRenderedPageBreak/>
        <w:t>Strategic assessment</w:t>
      </w:r>
    </w:p>
    <w:p w14:paraId="1F50F05E" w14:textId="4EA23B6B" w:rsidR="000B7E2A" w:rsidRDefault="000B7E2A" w:rsidP="000B7E2A">
      <w:pPr>
        <w:pStyle w:val="ListParagraph"/>
        <w:numPr>
          <w:ilvl w:val="0"/>
          <w:numId w:val="42"/>
        </w:numPr>
        <w:snapToGrid w:val="0"/>
        <w:spacing w:after="240"/>
        <w:ind w:left="0" w:firstLine="0"/>
        <w:contextualSpacing w:val="0"/>
        <w:rPr>
          <w:rFonts w:ascii="Arial" w:hAnsi="Arial" w:cs="Arial"/>
          <w:sz w:val="22"/>
          <w:szCs w:val="22"/>
        </w:rPr>
      </w:pPr>
      <w:r w:rsidRPr="00DE5AAD">
        <w:rPr>
          <w:rFonts w:ascii="Arial" w:hAnsi="Arial" w:cs="Arial"/>
          <w:sz w:val="22"/>
          <w:szCs w:val="22"/>
        </w:rPr>
        <w:t>The statutory purpose of the IOC is twofold. Firstly, ‘</w:t>
      </w:r>
      <w:r w:rsidRPr="00DE5AAD">
        <w:rPr>
          <w:rFonts w:ascii="Arial" w:hAnsi="Arial" w:cs="Arial"/>
          <w:i/>
          <w:iCs/>
          <w:sz w:val="22"/>
          <w:szCs w:val="22"/>
        </w:rPr>
        <w:t xml:space="preserve">to promote international cooperation and coordinate programmes research, services and capacity-building, in order to learn more about the nature and resources of the ocean and coastal </w:t>
      </w:r>
      <w:proofErr w:type="gramStart"/>
      <w:r w:rsidR="008D1EEC" w:rsidRPr="00DE5AAD">
        <w:rPr>
          <w:rFonts w:ascii="Arial" w:hAnsi="Arial" w:cs="Arial"/>
          <w:i/>
          <w:iCs/>
          <w:sz w:val="22"/>
          <w:szCs w:val="22"/>
        </w:rPr>
        <w:t>areas</w:t>
      </w:r>
      <w:r w:rsidR="008D1EEC">
        <w:rPr>
          <w:rFonts w:ascii="Arial" w:hAnsi="Arial" w:cs="Arial"/>
          <w:i/>
          <w:iCs/>
          <w:sz w:val="22"/>
          <w:szCs w:val="22"/>
        </w:rPr>
        <w:t>’</w:t>
      </w:r>
      <w:proofErr w:type="gramEnd"/>
      <w:r w:rsidRPr="00DE5AAD">
        <w:rPr>
          <w:rFonts w:ascii="Arial" w:hAnsi="Arial" w:cs="Arial"/>
          <w:sz w:val="22"/>
          <w:szCs w:val="22"/>
        </w:rPr>
        <w:t>. Secondly, ‘</w:t>
      </w:r>
      <w:r w:rsidRPr="00DE5AAD">
        <w:rPr>
          <w:rFonts w:ascii="Arial" w:hAnsi="Arial" w:cs="Arial"/>
          <w:i/>
          <w:iCs/>
          <w:sz w:val="22"/>
          <w:szCs w:val="22"/>
        </w:rPr>
        <w:t>to apply that knowledge for the improvement of management, sustainable development, the protection of marine environment, and the decision-making processes of its Member States</w:t>
      </w:r>
      <w:r w:rsidRPr="00DE5AAD">
        <w:rPr>
          <w:rFonts w:ascii="Arial" w:hAnsi="Arial" w:cs="Arial"/>
          <w:sz w:val="22"/>
          <w:szCs w:val="22"/>
        </w:rPr>
        <w:t xml:space="preserve">’. (Art. 2.1 of the </w:t>
      </w:r>
      <w:hyperlink r:id="rId15" w:history="1">
        <w:r w:rsidRPr="00DE5AAD">
          <w:rPr>
            <w:rStyle w:val="Hyperlink"/>
            <w:rFonts w:ascii="Arial" w:hAnsi="Arial" w:cs="Arial"/>
            <w:sz w:val="22"/>
            <w:szCs w:val="22"/>
          </w:rPr>
          <w:t>IOC Statutes</w:t>
        </w:r>
      </w:hyperlink>
      <w:r w:rsidRPr="00DE5AAD">
        <w:rPr>
          <w:rFonts w:ascii="Arial" w:hAnsi="Arial" w:cs="Arial"/>
          <w:sz w:val="22"/>
          <w:szCs w:val="22"/>
        </w:rPr>
        <w:t xml:space="preserve">). </w:t>
      </w:r>
    </w:p>
    <w:p w14:paraId="7F22090E" w14:textId="77777777" w:rsidR="000B7E2A" w:rsidRPr="00DE5AAD" w:rsidRDefault="000B7E2A" w:rsidP="000B7E2A">
      <w:pPr>
        <w:pStyle w:val="ListParagraph"/>
        <w:numPr>
          <w:ilvl w:val="0"/>
          <w:numId w:val="42"/>
        </w:numPr>
        <w:snapToGrid w:val="0"/>
        <w:spacing w:before="240" w:after="240"/>
        <w:ind w:left="0" w:firstLine="0"/>
        <w:contextualSpacing w:val="0"/>
        <w:rPr>
          <w:rFonts w:ascii="Arial" w:hAnsi="Arial" w:cs="Arial"/>
          <w:sz w:val="22"/>
          <w:szCs w:val="22"/>
        </w:rPr>
      </w:pPr>
      <w:r w:rsidRPr="00DE5AAD">
        <w:rPr>
          <w:rFonts w:ascii="Arial" w:hAnsi="Arial" w:cs="Arial"/>
          <w:sz w:val="22"/>
          <w:szCs w:val="22"/>
        </w:rPr>
        <w:t>The learning process starts with sustained ocean observations that generate ocean data for research, analysis and modelling. The priorities set by IOC Governing Bodies for the current budget period reflect this and has been a critical focus of the Commission’s work. With the IOC’s share of UNESCO’s regular budget for 2024–2025 (42 C/5) increased to 3% at the request of its Member States, the application of learning and knowledge, the second part of our mandate,</w:t>
      </w:r>
      <w:r>
        <w:rPr>
          <w:rFonts w:ascii="Arial" w:hAnsi="Arial" w:cs="Arial"/>
          <w:sz w:val="22"/>
          <w:szCs w:val="22"/>
        </w:rPr>
        <w:t xml:space="preserve"> has been </w:t>
      </w:r>
      <w:r w:rsidRPr="00DE5AAD">
        <w:rPr>
          <w:rFonts w:ascii="Arial" w:hAnsi="Arial" w:cs="Arial"/>
          <w:sz w:val="22"/>
          <w:szCs w:val="22"/>
        </w:rPr>
        <w:t>growing in importance in line with the strengthened global ocean governance landscape, and the increased relevance of regional policy and governance mechanisms. Strengthening IOC’s work in ocean observations and ocean data result</w:t>
      </w:r>
      <w:r>
        <w:rPr>
          <w:rFonts w:ascii="Arial" w:hAnsi="Arial" w:cs="Arial"/>
          <w:sz w:val="22"/>
          <w:szCs w:val="22"/>
        </w:rPr>
        <w:t>ed</w:t>
      </w:r>
      <w:r w:rsidRPr="00DE5AAD">
        <w:rPr>
          <w:rFonts w:ascii="Arial" w:hAnsi="Arial" w:cs="Arial"/>
          <w:sz w:val="22"/>
          <w:szCs w:val="22"/>
        </w:rPr>
        <w:t xml:space="preserve"> in products and services supporting for example, marine monitoring for the Kunming-Montreal Global Biodiversity Framework, the BBNJ Treaty and pollution-related frameworks, as well as cementing IOC’s role as a global knowledge partner for sustainable ocean planning. </w:t>
      </w:r>
    </w:p>
    <w:p w14:paraId="57C26628" w14:textId="77777777" w:rsidR="000B7E2A" w:rsidRPr="00595B8A" w:rsidRDefault="000B7E2A" w:rsidP="000B7E2A">
      <w:pPr>
        <w:pStyle w:val="ListParagraph"/>
        <w:numPr>
          <w:ilvl w:val="0"/>
          <w:numId w:val="42"/>
        </w:numPr>
        <w:snapToGrid w:val="0"/>
        <w:spacing w:before="240" w:after="240"/>
        <w:ind w:left="0" w:firstLine="0"/>
        <w:contextualSpacing w:val="0"/>
        <w:rPr>
          <w:rFonts w:ascii="Arial" w:hAnsi="Arial" w:cs="Arial"/>
          <w:sz w:val="22"/>
          <w:szCs w:val="22"/>
        </w:rPr>
      </w:pPr>
      <w:r w:rsidRPr="000606E3">
        <w:rPr>
          <w:rFonts w:ascii="Arial" w:hAnsi="Arial" w:cs="Arial"/>
          <w:sz w:val="22"/>
          <w:szCs w:val="22"/>
        </w:rPr>
        <w:t xml:space="preserve">These dual objectives of learning and application align with the ethos of the United Nations Decade of Ocean Science for Sustainable Development (2021–2030), </w:t>
      </w:r>
      <w:r>
        <w:rPr>
          <w:rFonts w:ascii="Arial" w:hAnsi="Arial" w:cs="Arial"/>
          <w:sz w:val="22"/>
          <w:szCs w:val="22"/>
        </w:rPr>
        <w:t xml:space="preserve">coordinated by the IOC. </w:t>
      </w:r>
      <w:r w:rsidRPr="000606E3">
        <w:rPr>
          <w:rFonts w:ascii="Arial" w:hAnsi="Arial" w:cs="Arial"/>
          <w:sz w:val="22"/>
          <w:szCs w:val="22"/>
        </w:rPr>
        <w:t>The IOC-led programmes and projects that are being developed under the framework of the ‘Ocean Decade’ range from observations to research, to sustainable ocean planning. They are testbeds of transformative approaches to the generation of timely, relevant and co-designed knowledge that has direct applicability to decision-making. The Ocean Decade provides the framework for IOC programmes to work in new ways, with new partners focusing on emerging issues</w:t>
      </w:r>
      <w:r>
        <w:rPr>
          <w:rFonts w:ascii="Arial" w:hAnsi="Arial" w:cs="Arial"/>
          <w:sz w:val="22"/>
          <w:szCs w:val="22"/>
        </w:rPr>
        <w:t>, guided by the Vision 2030 insights synthesized in the Barcelona Statement from the 2024 Ocean Decade Conference and the mid-term evaluation. The 2025 United Nations Conference presented a pivotal opportunity to elevate initiatives on ocean observations, seabed mapping and the availability of actionable ocean data to support science-based decision-making and foster global collaboration for ocean sustainability.</w:t>
      </w:r>
    </w:p>
    <w:p w14:paraId="1E8E70D0" w14:textId="7B65FD92" w:rsidR="00137BED" w:rsidRPr="000C38C8" w:rsidRDefault="00137BED" w:rsidP="00AA2CD5">
      <w:pPr>
        <w:spacing w:after="240"/>
        <w:jc w:val="both"/>
        <w:rPr>
          <w:b/>
          <w:bCs/>
          <w:color w:val="000000" w:themeColor="text1"/>
          <w:szCs w:val="22"/>
        </w:rPr>
      </w:pPr>
      <w:r w:rsidRPr="000C38C8">
        <w:rPr>
          <w:b/>
          <w:bCs/>
          <w:color w:val="000000" w:themeColor="text1"/>
          <w:szCs w:val="22"/>
        </w:rPr>
        <w:t>Highlights across IOC Functions</w:t>
      </w:r>
    </w:p>
    <w:p w14:paraId="56B3BEA3" w14:textId="77777777" w:rsidR="003E0E67" w:rsidRPr="005061B5" w:rsidRDefault="003E0E67" w:rsidP="005F6E3A">
      <w:pPr>
        <w:pStyle w:val="ListParagraph"/>
        <w:numPr>
          <w:ilvl w:val="0"/>
          <w:numId w:val="42"/>
        </w:numPr>
        <w:snapToGrid w:val="0"/>
        <w:spacing w:before="240" w:after="240"/>
        <w:ind w:left="0" w:firstLine="0"/>
        <w:contextualSpacing w:val="0"/>
        <w:rPr>
          <w:rFonts w:ascii="Arial" w:hAnsi="Arial" w:cs="Arial"/>
          <w:sz w:val="22"/>
          <w:szCs w:val="22"/>
        </w:rPr>
      </w:pPr>
      <w:r w:rsidRPr="005061B5">
        <w:rPr>
          <w:rFonts w:ascii="Arial" w:hAnsi="Arial" w:cs="Arial"/>
          <w:sz w:val="22"/>
          <w:szCs w:val="22"/>
        </w:rPr>
        <w:t xml:space="preserve">The second IOC </w:t>
      </w:r>
      <w:r w:rsidRPr="005061B5">
        <w:rPr>
          <w:rFonts w:ascii="Arial" w:hAnsi="Arial" w:cs="Arial"/>
          <w:i/>
          <w:iCs/>
          <w:sz w:val="22"/>
          <w:szCs w:val="22"/>
        </w:rPr>
        <w:t>State of the Ocean Report</w:t>
      </w:r>
      <w:r w:rsidRPr="005061B5">
        <w:rPr>
          <w:rFonts w:ascii="Arial" w:hAnsi="Arial" w:cs="Arial"/>
          <w:sz w:val="22"/>
          <w:szCs w:val="22"/>
        </w:rPr>
        <w:t xml:space="preserve">, was published in June </w:t>
      </w:r>
      <w:hyperlink r:id="rId16" w:history="1">
        <w:r w:rsidRPr="005061B5">
          <w:rPr>
            <w:rStyle w:val="Hyperlink"/>
            <w:rFonts w:ascii="Arial" w:hAnsi="Arial" w:cs="Arial"/>
            <w:sz w:val="22"/>
            <w:szCs w:val="22"/>
          </w:rPr>
          <w:t>2024</w:t>
        </w:r>
      </w:hyperlink>
      <w:r w:rsidRPr="005061B5">
        <w:rPr>
          <w:rFonts w:ascii="Arial" w:hAnsi="Arial" w:cs="Arial"/>
          <w:sz w:val="22"/>
          <w:szCs w:val="22"/>
        </w:rPr>
        <w:t>, presenting the results of ocean-related scientific activities and analyses to describe the current and future state of the ocean, addressing physical, chemical, ecological, socioeconomic and governance aspects, focusing on the seven Outcomes of the Ocean Decade. Work is underway on the preparation of the 2026 edition.</w:t>
      </w:r>
    </w:p>
    <w:p w14:paraId="48A54BA1" w14:textId="2D34D8DF" w:rsidR="003E0E67" w:rsidRPr="005061B5" w:rsidRDefault="003E0E67" w:rsidP="005F6E3A">
      <w:pPr>
        <w:pStyle w:val="ListParagraph"/>
        <w:numPr>
          <w:ilvl w:val="0"/>
          <w:numId w:val="42"/>
        </w:numPr>
        <w:snapToGrid w:val="0"/>
        <w:spacing w:before="240" w:after="240"/>
        <w:ind w:left="0" w:firstLine="0"/>
        <w:contextualSpacing w:val="0"/>
        <w:rPr>
          <w:rFonts w:ascii="Arial" w:hAnsi="Arial" w:cs="Arial"/>
          <w:sz w:val="22"/>
          <w:szCs w:val="22"/>
        </w:rPr>
      </w:pPr>
      <w:r w:rsidRPr="005061B5">
        <w:rPr>
          <w:rFonts w:ascii="Arial" w:hAnsi="Arial" w:cs="Arial"/>
          <w:sz w:val="22"/>
          <w:szCs w:val="22"/>
        </w:rPr>
        <w:t>IOC’s data submission towards SDG Indicator 14.3.1 ‘Average marine acidity (pH) measured at agreed suite of representative sampling stations’ collected inputs from an increased number of countries and stations (178 stations in 2021; 765 stations from 44 countries in 2025). The IOC-coordinated global expert network on ocean acidification now counts more than 1,500 members from 116 countries (26 in Africa, 23 SIDS) and continues to grow. The portfolio of IOC activities aimed to conserve, restore and sustainably manage coastal blue carbon ecosystems continued to grow, including in the context of the Global Ocean Decade Programme for Blue Carbon.</w:t>
      </w:r>
    </w:p>
    <w:p w14:paraId="08534638" w14:textId="77777777" w:rsidR="003E0E67" w:rsidRPr="005061B5" w:rsidRDefault="003E0E67" w:rsidP="005F6E3A">
      <w:pPr>
        <w:pStyle w:val="ListParagraph"/>
        <w:numPr>
          <w:ilvl w:val="0"/>
          <w:numId w:val="42"/>
        </w:numPr>
        <w:snapToGrid w:val="0"/>
        <w:spacing w:before="240" w:after="240"/>
        <w:ind w:left="0" w:firstLine="0"/>
        <w:contextualSpacing w:val="0"/>
        <w:textDirection w:val="btLr"/>
        <w:rPr>
          <w:rFonts w:ascii="Arial" w:hAnsi="Arial" w:cs="Arial"/>
          <w:sz w:val="22"/>
          <w:szCs w:val="22"/>
        </w:rPr>
      </w:pPr>
      <w:r w:rsidRPr="005F6E3A">
        <w:rPr>
          <w:rFonts w:ascii="Arial" w:hAnsi="Arial" w:cs="Arial"/>
          <w:sz w:val="22"/>
          <w:szCs w:val="22"/>
        </w:rPr>
        <w:t>Recognizing</w:t>
      </w:r>
      <w:r w:rsidRPr="005061B5">
        <w:rPr>
          <w:rFonts w:ascii="Arial" w:eastAsia="Arial" w:hAnsi="Arial" w:cs="Arial"/>
          <w:sz w:val="22"/>
          <w:szCs w:val="22"/>
        </w:rPr>
        <w:t xml:space="preserve"> that Joint programmes between IOC, United Nations and other international organizations are important ways to leverage and enhance IOC activities to best serve society and that </w:t>
      </w:r>
      <w:r w:rsidRPr="005061B5">
        <w:rPr>
          <w:rFonts w:ascii="Arial" w:hAnsi="Arial" w:cs="Arial"/>
          <w:sz w:val="22"/>
          <w:szCs w:val="22"/>
        </w:rPr>
        <w:t>these</w:t>
      </w:r>
      <w:r w:rsidRPr="005061B5">
        <w:rPr>
          <w:rFonts w:ascii="Arial" w:eastAsia="Arial" w:hAnsi="Arial" w:cs="Arial"/>
          <w:sz w:val="22"/>
          <w:szCs w:val="22"/>
        </w:rPr>
        <w:t xml:space="preserve"> programmes must be underpinned by timely and relevant agreements, a revised four-year memorandum of understanding for the Global Climate Observing </w:t>
      </w:r>
      <w:r w:rsidRPr="005061B5">
        <w:rPr>
          <w:rFonts w:ascii="Arial" w:hAnsi="Arial" w:cs="Arial"/>
          <w:sz w:val="22"/>
          <w:szCs w:val="22"/>
        </w:rPr>
        <w:t>System</w:t>
      </w:r>
      <w:r w:rsidRPr="005061B5">
        <w:rPr>
          <w:rFonts w:ascii="Arial" w:eastAsia="Arial" w:hAnsi="Arial" w:cs="Arial"/>
          <w:sz w:val="22"/>
          <w:szCs w:val="22"/>
        </w:rPr>
        <w:t xml:space="preserve"> (GCOS) was negotiated with the World Meteorological Organization (WMO), the United Nations Environment Programme (UNEP) and the International Science Council (ISC). In addition, a memorandum of understanding was signed in April 2024 between UNESCO-IOC and FAO to formalise joint sponsorship of the </w:t>
      </w:r>
      <w:r w:rsidRPr="005061B5">
        <w:rPr>
          <w:rFonts w:ascii="Arial" w:eastAsia="Arial" w:hAnsi="Arial" w:cs="Arial"/>
          <w:sz w:val="22"/>
          <w:szCs w:val="22"/>
        </w:rPr>
        <w:lastRenderedPageBreak/>
        <w:t xml:space="preserve">Intergovernmental Panel on Harmful Algal Blooms (IOC-FAO IPHAB). </w:t>
      </w:r>
      <w:r w:rsidRPr="005061B5">
        <w:rPr>
          <w:rFonts w:ascii="Arial" w:hAnsi="Arial" w:cs="Arial"/>
          <w:sz w:val="22"/>
          <w:szCs w:val="22"/>
        </w:rPr>
        <w:t>IOC as a co-sponsor of the World Climate Research Programme hosted a meeting of the joint scientific committee at UNESCO HQ in May 2025.</w:t>
      </w:r>
    </w:p>
    <w:p w14:paraId="7DB986F1" w14:textId="77777777" w:rsidR="003E0E67" w:rsidRPr="00000C4B" w:rsidRDefault="003E0E67" w:rsidP="005F6E3A">
      <w:pPr>
        <w:pStyle w:val="ListParagraph"/>
        <w:numPr>
          <w:ilvl w:val="0"/>
          <w:numId w:val="42"/>
        </w:numPr>
        <w:snapToGrid w:val="0"/>
        <w:spacing w:before="240" w:after="240"/>
        <w:ind w:left="0" w:firstLine="0"/>
        <w:contextualSpacing w:val="0"/>
        <w:rPr>
          <w:rFonts w:ascii="Arial" w:hAnsi="Arial" w:cs="Arial"/>
          <w:sz w:val="22"/>
          <w:szCs w:val="22"/>
        </w:rPr>
      </w:pPr>
      <w:r w:rsidRPr="005061B5">
        <w:rPr>
          <w:rFonts w:ascii="Arial" w:hAnsi="Arial" w:cs="Arial"/>
          <w:sz w:val="22"/>
          <w:szCs w:val="22"/>
        </w:rPr>
        <w:t>The Global Ocean Observing System (GOOS) coordinates more than 8,700 ocean observing platforms across 13 global ocean observing networ</w:t>
      </w:r>
      <w:r w:rsidRPr="00000C4B">
        <w:rPr>
          <w:rFonts w:ascii="Arial" w:hAnsi="Arial" w:cs="Arial"/>
          <w:sz w:val="22"/>
          <w:szCs w:val="22"/>
        </w:rPr>
        <w:t>ks, operated by 83 Member States (9 in Africa, 9 SIDS). Over 120,000 ocean observations are delivered to operational forecasting systems every day, as tracked through OceanOPS (GOOS IOC-WMO Operational Centre). GOOS has continued to build coordination, integration and advocacy on global ocean observing in combination with advancing stakeholder engagement, and the resilience and responsiveness of the global system. Significant steps forward were made in uniting IOC data elements towards a cutting-edge IOC Data Architecture. The Joint WMO-IOC Collaborative Board identified priority areas of work: defining the Global Basic Observing Network (GBON) for oceans; improving data management and interoperability; strengthening coastal and maritime resilience; and enhancing capacity development through joint training and collaboration.</w:t>
      </w:r>
      <w:r>
        <w:rPr>
          <w:rFonts w:ascii="Arial" w:hAnsi="Arial" w:cs="Arial"/>
          <w:sz w:val="22"/>
          <w:szCs w:val="22"/>
        </w:rPr>
        <w:t xml:space="preserve"> </w:t>
      </w:r>
    </w:p>
    <w:p w14:paraId="517AB905" w14:textId="77777777" w:rsidR="003E0E67" w:rsidRPr="000606E3" w:rsidRDefault="003E0E67" w:rsidP="005F6E3A">
      <w:pPr>
        <w:pStyle w:val="ListParagraph"/>
        <w:numPr>
          <w:ilvl w:val="0"/>
          <w:numId w:val="42"/>
        </w:numPr>
        <w:snapToGrid w:val="0"/>
        <w:spacing w:before="240" w:after="240"/>
        <w:ind w:left="0" w:firstLine="0"/>
        <w:contextualSpacing w:val="0"/>
        <w:rPr>
          <w:rFonts w:ascii="Arial" w:hAnsi="Arial" w:cs="Arial"/>
          <w:sz w:val="22"/>
          <w:szCs w:val="22"/>
        </w:rPr>
      </w:pPr>
      <w:r w:rsidRPr="005061B5">
        <w:rPr>
          <w:rFonts w:ascii="Arial" w:hAnsi="Arial" w:cs="Arial"/>
          <w:color w:val="212121"/>
          <w:sz w:val="22"/>
          <w:szCs w:val="22"/>
        </w:rPr>
        <w:t xml:space="preserve">The </w:t>
      </w:r>
      <w:r w:rsidRPr="005F6E3A">
        <w:rPr>
          <w:rFonts w:ascii="Arial" w:hAnsi="Arial" w:cs="Arial"/>
          <w:sz w:val="22"/>
          <w:szCs w:val="22"/>
        </w:rPr>
        <w:t>Ocean</w:t>
      </w:r>
      <w:r w:rsidRPr="005061B5">
        <w:rPr>
          <w:rFonts w:ascii="Arial" w:hAnsi="Arial" w:cs="Arial"/>
          <w:color w:val="212121"/>
          <w:sz w:val="22"/>
          <w:szCs w:val="22"/>
        </w:rPr>
        <w:t xml:space="preserve"> Data and Information System (ODIS) is a federation of independent data systems including continental-scale data systems, national data systems as well as those of small organizations. </w:t>
      </w:r>
      <w:r w:rsidRPr="000606E3">
        <w:rPr>
          <w:rFonts w:ascii="Arial" w:hAnsi="Arial" w:cs="Arial"/>
          <w:color w:val="212121"/>
          <w:sz w:val="22"/>
          <w:szCs w:val="22"/>
        </w:rPr>
        <w:t>ODIS currently links 55 data catalogues or nodes from 45 partner organizations, enabling</w:t>
      </w:r>
      <w:r w:rsidRPr="000606E3">
        <w:rPr>
          <w:rStyle w:val="apple-converted-space"/>
          <w:rFonts w:cs="Arial"/>
          <w:color w:val="212121"/>
          <w:szCs w:val="22"/>
        </w:rPr>
        <w:t xml:space="preserve"> </w:t>
      </w:r>
      <w:r w:rsidRPr="000606E3">
        <w:rPr>
          <w:rFonts w:ascii="Arial" w:hAnsi="Arial" w:cs="Arial"/>
          <w:color w:val="212121"/>
          <w:sz w:val="22"/>
          <w:szCs w:val="22"/>
        </w:rPr>
        <w:t>a sustainable, interoperable, and inclusive digital ecosystem for all ocean stakeholders that will continue to grow in the future.</w:t>
      </w:r>
      <w:r>
        <w:rPr>
          <w:rFonts w:ascii="Arial" w:hAnsi="Arial" w:cs="Arial"/>
          <w:color w:val="212121"/>
          <w:sz w:val="22"/>
          <w:szCs w:val="22"/>
        </w:rPr>
        <w:t xml:space="preserve"> </w:t>
      </w:r>
      <w:r w:rsidRPr="000606E3">
        <w:rPr>
          <w:rFonts w:ascii="Arial" w:hAnsi="Arial" w:cs="Arial"/>
          <w:sz w:val="22"/>
          <w:szCs w:val="22"/>
        </w:rPr>
        <w:t>As a joint effort between the Global Ocean Observing System (GOOS) and the IODE/Ocean Biodiversity Information System (OBIS), information was collected from 638 long-term active biological monitoring programmes and integrated into an online metadata platform (</w:t>
      </w:r>
      <w:proofErr w:type="spellStart"/>
      <w:r w:rsidRPr="000606E3">
        <w:rPr>
          <w:rFonts w:ascii="Arial" w:hAnsi="Arial" w:cs="Arial"/>
          <w:sz w:val="22"/>
          <w:szCs w:val="22"/>
        </w:rPr>
        <w:t>BioEco</w:t>
      </w:r>
      <w:proofErr w:type="spellEnd"/>
      <w:r w:rsidRPr="000606E3">
        <w:rPr>
          <w:rFonts w:ascii="Arial" w:hAnsi="Arial" w:cs="Arial"/>
          <w:sz w:val="22"/>
          <w:szCs w:val="22"/>
        </w:rPr>
        <w:t xml:space="preserve"> portal), which will be connected to ODIS, and become the infrastructure to monitor the status of the marine biological component of GOOS. OBIS now holds 136 million species observations and continues to grow with over 1 million records per month collectively provided by over 1,000 institutions from 99 countries.</w:t>
      </w:r>
    </w:p>
    <w:p w14:paraId="6C18DD30" w14:textId="77777777" w:rsidR="003E0E67" w:rsidRDefault="003E0E67" w:rsidP="005F6E3A">
      <w:pPr>
        <w:pStyle w:val="ListParagraph"/>
        <w:numPr>
          <w:ilvl w:val="0"/>
          <w:numId w:val="42"/>
        </w:numPr>
        <w:snapToGrid w:val="0"/>
        <w:spacing w:before="240" w:after="240"/>
        <w:ind w:left="0" w:firstLine="0"/>
        <w:contextualSpacing w:val="0"/>
        <w:rPr>
          <w:rFonts w:ascii="Arial" w:hAnsi="Arial" w:cs="Arial"/>
          <w:sz w:val="22"/>
          <w:szCs w:val="22"/>
        </w:rPr>
      </w:pPr>
      <w:r w:rsidRPr="00F8068F">
        <w:rPr>
          <w:rFonts w:ascii="Arial" w:hAnsi="Arial" w:cs="Arial"/>
          <w:sz w:val="22"/>
          <w:szCs w:val="22"/>
        </w:rPr>
        <w:t xml:space="preserve">The Environmental DNA Expeditions in Marine World Heritage Sites project, funded by the Government of Flanders (Kingdom of Belgium) and implemented jointly with the World Heritage Centre, was completed in December 2024 and demonstrated the transformative potential of environmental DNA (eDNA) as a cost-effective and accessible method for monitoring and conserving ocean biodiversity. Over a period of three years, sampling campaigns were conducted at 21 marine UNESCO World Heritage sites in 19 countries. Flanders-funded Pacific Islands Marine </w:t>
      </w:r>
      <w:proofErr w:type="spellStart"/>
      <w:r w:rsidRPr="00F8068F">
        <w:rPr>
          <w:rFonts w:ascii="Arial" w:hAnsi="Arial" w:cs="Arial"/>
          <w:sz w:val="22"/>
          <w:szCs w:val="22"/>
        </w:rPr>
        <w:t>Bioinvasion</w:t>
      </w:r>
      <w:proofErr w:type="spellEnd"/>
      <w:r w:rsidRPr="00F8068F">
        <w:rPr>
          <w:rFonts w:ascii="Arial" w:hAnsi="Arial" w:cs="Arial"/>
          <w:sz w:val="22"/>
          <w:szCs w:val="22"/>
        </w:rPr>
        <w:t xml:space="preserve"> Alert Network (</w:t>
      </w:r>
      <w:proofErr w:type="spellStart"/>
      <w:r w:rsidRPr="00F8068F">
        <w:rPr>
          <w:rFonts w:ascii="Arial" w:hAnsi="Arial" w:cs="Arial"/>
          <w:sz w:val="22"/>
          <w:szCs w:val="22"/>
        </w:rPr>
        <w:t>PacMAN</w:t>
      </w:r>
      <w:proofErr w:type="spellEnd"/>
      <w:r w:rsidRPr="00F8068F">
        <w:rPr>
          <w:rFonts w:ascii="Arial" w:hAnsi="Arial" w:cs="Arial"/>
          <w:sz w:val="22"/>
          <w:szCs w:val="22"/>
        </w:rPr>
        <w:t>) project (2020–2024), has built an end-to-end system for monitoring,</w:t>
      </w:r>
      <w:r w:rsidRPr="000606E3">
        <w:rPr>
          <w:rFonts w:ascii="Arial" w:hAnsi="Arial" w:cs="Arial"/>
          <w:sz w:val="22"/>
          <w:szCs w:val="22"/>
        </w:rPr>
        <w:t xml:space="preserve"> sampling, and analysing marine invasive species using molecular technologies, with </w:t>
      </w:r>
      <w:r>
        <w:rPr>
          <w:rFonts w:ascii="Arial" w:hAnsi="Arial" w:cs="Arial"/>
          <w:sz w:val="22"/>
          <w:szCs w:val="22"/>
        </w:rPr>
        <w:t>a pilot in Fiji, detecting presence of two species that were not previously identified</w:t>
      </w:r>
      <w:r w:rsidRPr="000606E3">
        <w:rPr>
          <w:rFonts w:ascii="Arial" w:hAnsi="Arial" w:cs="Arial"/>
          <w:sz w:val="22"/>
          <w:szCs w:val="22"/>
        </w:rPr>
        <w:t xml:space="preserve">. </w:t>
      </w:r>
    </w:p>
    <w:p w14:paraId="10EA7B9E" w14:textId="77777777" w:rsidR="003E0E67" w:rsidRPr="000606E3" w:rsidRDefault="003E0E67" w:rsidP="005F6E3A">
      <w:pPr>
        <w:pStyle w:val="ListParagraph"/>
        <w:numPr>
          <w:ilvl w:val="0"/>
          <w:numId w:val="42"/>
        </w:numPr>
        <w:snapToGrid w:val="0"/>
        <w:spacing w:before="240" w:after="120"/>
        <w:ind w:left="0" w:firstLine="0"/>
        <w:contextualSpacing w:val="0"/>
        <w:rPr>
          <w:rFonts w:ascii="Arial" w:hAnsi="Arial" w:cs="Arial"/>
          <w:sz w:val="22"/>
          <w:szCs w:val="22"/>
        </w:rPr>
      </w:pPr>
      <w:r w:rsidRPr="000606E3">
        <w:rPr>
          <w:rFonts w:ascii="Arial" w:hAnsi="Arial" w:cs="Arial"/>
          <w:sz w:val="22"/>
          <w:szCs w:val="22"/>
        </w:rPr>
        <w:t>Tsunami programme kept its strong capacity development focus in all ocean basins</w:t>
      </w:r>
      <w:r>
        <w:rPr>
          <w:rFonts w:ascii="Arial" w:hAnsi="Arial" w:cs="Arial"/>
          <w:sz w:val="22"/>
          <w:szCs w:val="22"/>
        </w:rPr>
        <w:t>, w</w:t>
      </w:r>
      <w:r w:rsidRPr="000606E3">
        <w:rPr>
          <w:rFonts w:ascii="Arial" w:hAnsi="Arial" w:cs="Arial"/>
          <w:sz w:val="22"/>
          <w:szCs w:val="22"/>
        </w:rPr>
        <w:t>ith renewal of agreements with:</w:t>
      </w:r>
    </w:p>
    <w:p w14:paraId="0E951592" w14:textId="77777777" w:rsidR="003E0E67" w:rsidRPr="000606E3" w:rsidRDefault="003E0E67" w:rsidP="00F8068F">
      <w:pPr>
        <w:pStyle w:val="ListParagraph"/>
        <w:spacing w:after="120"/>
        <w:ind w:left="1134" w:hanging="420"/>
        <w:contextualSpacing w:val="0"/>
        <w:rPr>
          <w:rFonts w:ascii="Arial" w:hAnsi="Arial" w:cs="Arial"/>
          <w:sz w:val="22"/>
          <w:szCs w:val="22"/>
        </w:rPr>
      </w:pPr>
      <w:r w:rsidRPr="000606E3">
        <w:rPr>
          <w:rFonts w:ascii="Arial" w:hAnsi="Arial" w:cs="Arial"/>
          <w:sz w:val="22"/>
          <w:szCs w:val="22"/>
        </w:rPr>
        <w:t xml:space="preserve">- </w:t>
      </w:r>
      <w:r w:rsidRPr="000606E3">
        <w:rPr>
          <w:rFonts w:ascii="Arial" w:hAnsi="Arial" w:cs="Arial"/>
          <w:sz w:val="22"/>
          <w:szCs w:val="22"/>
        </w:rPr>
        <w:tab/>
        <w:t xml:space="preserve">the Agency for Meteorology, Climatology, and Geophysics of the Republic of Indonesia hosting the Indian Ocean Tsunami Information Centre (IOTIC) 2023–2027, </w:t>
      </w:r>
    </w:p>
    <w:p w14:paraId="08694C39" w14:textId="77777777" w:rsidR="003E0E67" w:rsidRPr="000606E3" w:rsidRDefault="003E0E67" w:rsidP="00F8068F">
      <w:pPr>
        <w:pStyle w:val="ListParagraph"/>
        <w:spacing w:after="120"/>
        <w:ind w:left="1134" w:hanging="420"/>
        <w:contextualSpacing w:val="0"/>
        <w:rPr>
          <w:rFonts w:ascii="Arial" w:hAnsi="Arial" w:cs="Arial"/>
          <w:sz w:val="22"/>
          <w:szCs w:val="22"/>
        </w:rPr>
      </w:pPr>
      <w:r w:rsidRPr="000606E3">
        <w:rPr>
          <w:rFonts w:ascii="Arial" w:hAnsi="Arial" w:cs="Arial"/>
          <w:sz w:val="22"/>
          <w:szCs w:val="22"/>
        </w:rPr>
        <w:t xml:space="preserve">- </w:t>
      </w:r>
      <w:r w:rsidRPr="000606E3">
        <w:rPr>
          <w:rFonts w:ascii="Arial" w:hAnsi="Arial" w:cs="Arial"/>
          <w:sz w:val="22"/>
          <w:szCs w:val="22"/>
        </w:rPr>
        <w:tab/>
        <w:t xml:space="preserve">the Coastal Zone Management Unit (CZMU) of Barbados hosting the Caribbean Tsunami Information Centre (CTIC) 2024–2029, and </w:t>
      </w:r>
    </w:p>
    <w:p w14:paraId="4A9DD370" w14:textId="77777777" w:rsidR="003E0E67" w:rsidRDefault="003E0E67" w:rsidP="003E0E67">
      <w:pPr>
        <w:pStyle w:val="ListParagraph"/>
        <w:ind w:left="1134" w:hanging="420"/>
        <w:contextualSpacing w:val="0"/>
        <w:rPr>
          <w:rFonts w:ascii="Arial" w:hAnsi="Arial" w:cs="Arial"/>
          <w:sz w:val="22"/>
          <w:szCs w:val="22"/>
        </w:rPr>
      </w:pPr>
      <w:r w:rsidRPr="000606E3">
        <w:rPr>
          <w:rFonts w:ascii="Arial" w:hAnsi="Arial" w:cs="Arial"/>
          <w:sz w:val="22"/>
          <w:szCs w:val="22"/>
        </w:rPr>
        <w:t xml:space="preserve">- </w:t>
      </w:r>
      <w:r w:rsidRPr="000606E3">
        <w:rPr>
          <w:rFonts w:ascii="Arial" w:hAnsi="Arial" w:cs="Arial"/>
          <w:sz w:val="22"/>
          <w:szCs w:val="22"/>
        </w:rPr>
        <w:tab/>
        <w:t xml:space="preserve">the Bureau of Meteorology (Bureau) of Australia hosting the Indian Ocean Tsunami Warning and Mitigation (IOTWMS) Office in Perth, Australia 2023–2027. </w:t>
      </w:r>
    </w:p>
    <w:p w14:paraId="6529549D" w14:textId="77777777" w:rsidR="003E0E67" w:rsidRDefault="003E0E67" w:rsidP="005F6E3A">
      <w:pPr>
        <w:pStyle w:val="ListParagraph"/>
        <w:numPr>
          <w:ilvl w:val="0"/>
          <w:numId w:val="42"/>
        </w:numPr>
        <w:snapToGrid w:val="0"/>
        <w:spacing w:before="240" w:after="240"/>
        <w:ind w:left="0" w:firstLine="0"/>
        <w:contextualSpacing w:val="0"/>
        <w:rPr>
          <w:rFonts w:ascii="Arial" w:hAnsi="Arial" w:cs="Arial"/>
          <w:sz w:val="22"/>
          <w:szCs w:val="22"/>
        </w:rPr>
      </w:pPr>
      <w:r w:rsidRPr="000606E3">
        <w:rPr>
          <w:rFonts w:ascii="Arial" w:hAnsi="Arial" w:cs="Arial"/>
          <w:sz w:val="22"/>
          <w:szCs w:val="22"/>
        </w:rPr>
        <w:t xml:space="preserve">The 2nd Global Tsunami Symposium in Banda Aceh </w:t>
      </w:r>
      <w:r>
        <w:rPr>
          <w:rFonts w:ascii="Arial" w:hAnsi="Arial" w:cs="Arial"/>
          <w:sz w:val="22"/>
          <w:szCs w:val="22"/>
        </w:rPr>
        <w:t>commemorated the 20</w:t>
      </w:r>
      <w:r w:rsidRPr="005061B5">
        <w:rPr>
          <w:rFonts w:ascii="Arial" w:hAnsi="Arial" w:cs="Arial"/>
          <w:sz w:val="22"/>
          <w:szCs w:val="22"/>
          <w:vertAlign w:val="superscript"/>
        </w:rPr>
        <w:t>th</w:t>
      </w:r>
      <w:r>
        <w:rPr>
          <w:rFonts w:ascii="Arial" w:hAnsi="Arial" w:cs="Arial"/>
          <w:sz w:val="22"/>
          <w:szCs w:val="22"/>
        </w:rPr>
        <w:t xml:space="preserve"> anniversary of the 2024 Indian Ocean Tsunami, taking stock of progress achieved (</w:t>
      </w:r>
      <w:r w:rsidRPr="000606E3">
        <w:rPr>
          <w:rFonts w:ascii="Arial" w:eastAsia="Aptos" w:hAnsi="Arial" w:cs="Arial"/>
          <w:color w:val="212121"/>
          <w:sz w:val="22"/>
          <w:szCs w:val="22"/>
        </w:rPr>
        <w:t>100 recognized Tsunami Ready communities in 31 Member States, 15 of which are SIDS</w:t>
      </w:r>
      <w:r>
        <w:rPr>
          <w:rFonts w:ascii="Arial" w:eastAsia="Aptos" w:hAnsi="Arial" w:cs="Arial"/>
          <w:color w:val="212121"/>
          <w:sz w:val="22"/>
          <w:szCs w:val="22"/>
        </w:rPr>
        <w:t xml:space="preserve">), </w:t>
      </w:r>
      <w:r>
        <w:rPr>
          <w:rFonts w:ascii="Arial" w:hAnsi="Arial" w:cs="Arial"/>
          <w:sz w:val="22"/>
          <w:szCs w:val="22"/>
        </w:rPr>
        <w:t>and appealing</w:t>
      </w:r>
      <w:r w:rsidRPr="000606E3">
        <w:rPr>
          <w:rFonts w:ascii="Arial" w:hAnsi="Arial" w:cs="Arial"/>
          <w:sz w:val="22"/>
          <w:szCs w:val="22"/>
        </w:rPr>
        <w:t xml:space="preserve"> for investment to ensure that 100% of coastal community at risk are Tsunami Ready by 2030. </w:t>
      </w:r>
    </w:p>
    <w:p w14:paraId="7DA00444" w14:textId="77777777" w:rsidR="003E0E67" w:rsidRDefault="003E0E67" w:rsidP="005F6E3A">
      <w:pPr>
        <w:pStyle w:val="ListParagraph"/>
        <w:numPr>
          <w:ilvl w:val="0"/>
          <w:numId w:val="42"/>
        </w:numPr>
        <w:snapToGrid w:val="0"/>
        <w:spacing w:before="240" w:after="240"/>
        <w:ind w:left="0" w:firstLine="0"/>
        <w:contextualSpacing w:val="0"/>
        <w:rPr>
          <w:rFonts w:ascii="Arial" w:eastAsia="Arial" w:hAnsi="Arial" w:cs="Arial"/>
          <w:sz w:val="22"/>
          <w:szCs w:val="22"/>
        </w:rPr>
      </w:pPr>
      <w:r w:rsidRPr="000606E3">
        <w:rPr>
          <w:rFonts w:ascii="Arial" w:eastAsia="Arial" w:hAnsi="Arial" w:cs="Arial"/>
          <w:sz w:val="22"/>
          <w:szCs w:val="22"/>
          <w:lang w:val="en-US"/>
        </w:rPr>
        <w:t xml:space="preserve">The </w:t>
      </w:r>
      <w:r w:rsidRPr="005F6E3A">
        <w:rPr>
          <w:rFonts w:ascii="Arial" w:hAnsi="Arial" w:cs="Arial"/>
          <w:sz w:val="22"/>
          <w:szCs w:val="22"/>
        </w:rPr>
        <w:t>joint</w:t>
      </w:r>
      <w:r w:rsidRPr="000606E3">
        <w:rPr>
          <w:rFonts w:ascii="Arial" w:eastAsia="Arial" w:hAnsi="Arial" w:cs="Arial"/>
          <w:sz w:val="22"/>
          <w:szCs w:val="22"/>
          <w:lang w:val="en-US"/>
        </w:rPr>
        <w:t xml:space="preserve"> IOC-SCOR </w:t>
      </w:r>
      <w:proofErr w:type="spellStart"/>
      <w:r w:rsidRPr="000606E3">
        <w:rPr>
          <w:rFonts w:ascii="Arial" w:eastAsia="Arial" w:hAnsi="Arial" w:cs="Arial"/>
          <w:sz w:val="22"/>
          <w:szCs w:val="22"/>
          <w:lang w:val="en-US"/>
        </w:rPr>
        <w:t>GlobalHAB</w:t>
      </w:r>
      <w:proofErr w:type="spellEnd"/>
      <w:r w:rsidRPr="000606E3">
        <w:rPr>
          <w:rFonts w:ascii="Arial" w:eastAsia="Arial" w:hAnsi="Arial" w:cs="Arial"/>
          <w:sz w:val="22"/>
          <w:szCs w:val="22"/>
          <w:lang w:val="en-US"/>
        </w:rPr>
        <w:t xml:space="preserve"> science </w:t>
      </w:r>
      <w:proofErr w:type="spellStart"/>
      <w:r w:rsidRPr="000606E3">
        <w:rPr>
          <w:rFonts w:ascii="Arial" w:eastAsia="Arial" w:hAnsi="Arial" w:cs="Arial"/>
          <w:sz w:val="22"/>
          <w:szCs w:val="22"/>
          <w:lang w:val="en-US"/>
        </w:rPr>
        <w:t>programme</w:t>
      </w:r>
      <w:proofErr w:type="spellEnd"/>
      <w:r w:rsidRPr="000606E3">
        <w:rPr>
          <w:rFonts w:ascii="Arial" w:eastAsia="Arial" w:hAnsi="Arial" w:cs="Arial"/>
          <w:sz w:val="22"/>
          <w:szCs w:val="22"/>
          <w:lang w:val="en-US"/>
        </w:rPr>
        <w:t xml:space="preserve"> developed a new decadal plan for an international H</w:t>
      </w:r>
      <w:r>
        <w:rPr>
          <w:rFonts w:ascii="Arial" w:eastAsia="Arial" w:hAnsi="Arial" w:cs="Arial"/>
          <w:sz w:val="22"/>
          <w:szCs w:val="22"/>
          <w:lang w:val="en-US"/>
        </w:rPr>
        <w:t xml:space="preserve">armful </w:t>
      </w:r>
      <w:r w:rsidRPr="000606E3">
        <w:rPr>
          <w:rFonts w:ascii="Arial" w:eastAsia="Arial" w:hAnsi="Arial" w:cs="Arial"/>
          <w:sz w:val="22"/>
          <w:szCs w:val="22"/>
          <w:lang w:val="en-US"/>
        </w:rPr>
        <w:t>A</w:t>
      </w:r>
      <w:r>
        <w:rPr>
          <w:rFonts w:ascii="Arial" w:eastAsia="Arial" w:hAnsi="Arial" w:cs="Arial"/>
          <w:sz w:val="22"/>
          <w:szCs w:val="22"/>
          <w:lang w:val="en-US"/>
        </w:rPr>
        <w:t xml:space="preserve">lgal </w:t>
      </w:r>
      <w:r w:rsidRPr="000606E3">
        <w:rPr>
          <w:rFonts w:ascii="Arial" w:eastAsia="Arial" w:hAnsi="Arial" w:cs="Arial"/>
          <w:sz w:val="22"/>
          <w:szCs w:val="22"/>
          <w:lang w:val="en-US"/>
        </w:rPr>
        <w:t>B</w:t>
      </w:r>
      <w:r>
        <w:rPr>
          <w:rFonts w:ascii="Arial" w:eastAsia="Arial" w:hAnsi="Arial" w:cs="Arial"/>
          <w:sz w:val="22"/>
          <w:szCs w:val="22"/>
          <w:lang w:val="en-US"/>
        </w:rPr>
        <w:t>loom (HAB)</w:t>
      </w:r>
      <w:r w:rsidRPr="000606E3">
        <w:rPr>
          <w:rFonts w:ascii="Arial" w:eastAsia="Arial" w:hAnsi="Arial" w:cs="Arial"/>
          <w:sz w:val="22"/>
          <w:szCs w:val="22"/>
          <w:lang w:val="en-US"/>
        </w:rPr>
        <w:t xml:space="preserve"> research </w:t>
      </w:r>
      <w:proofErr w:type="spellStart"/>
      <w:r w:rsidRPr="000606E3">
        <w:rPr>
          <w:rFonts w:ascii="Arial" w:eastAsia="Arial" w:hAnsi="Arial" w:cs="Arial"/>
          <w:sz w:val="22"/>
          <w:szCs w:val="22"/>
          <w:lang w:val="en-US"/>
        </w:rPr>
        <w:t>programme</w:t>
      </w:r>
      <w:proofErr w:type="spellEnd"/>
      <w:r w:rsidRPr="000606E3">
        <w:rPr>
          <w:rFonts w:ascii="Arial" w:eastAsia="Arial" w:hAnsi="Arial" w:cs="Arial"/>
          <w:sz w:val="22"/>
          <w:szCs w:val="22"/>
          <w:lang w:val="en-US"/>
        </w:rPr>
        <w:t>.</w:t>
      </w:r>
      <w:r w:rsidRPr="000606E3">
        <w:rPr>
          <w:rFonts w:ascii="Arial" w:hAnsi="Arial" w:cs="Arial"/>
          <w:sz w:val="22"/>
          <w:szCs w:val="22"/>
        </w:rPr>
        <w:t xml:space="preserve"> </w:t>
      </w:r>
      <w:r w:rsidRPr="000606E3">
        <w:rPr>
          <w:rFonts w:ascii="Arial" w:eastAsia="Arial" w:hAnsi="Arial" w:cs="Arial"/>
          <w:sz w:val="22"/>
          <w:szCs w:val="22"/>
        </w:rPr>
        <w:t xml:space="preserve">A new </w:t>
      </w:r>
      <w:r w:rsidRPr="000606E3">
        <w:rPr>
          <w:rFonts w:ascii="Arial" w:eastAsia="Arial" w:hAnsi="Arial" w:cs="Arial"/>
          <w:sz w:val="22"/>
          <w:szCs w:val="22"/>
          <w:lang w:val="en-US"/>
        </w:rPr>
        <w:t>partnership</w:t>
      </w:r>
      <w:r w:rsidRPr="000606E3">
        <w:rPr>
          <w:rFonts w:ascii="Arial" w:eastAsia="Arial" w:hAnsi="Arial" w:cs="Arial"/>
          <w:sz w:val="22"/>
          <w:szCs w:val="22"/>
        </w:rPr>
        <w:t xml:space="preserve"> </w:t>
      </w:r>
      <w:r>
        <w:rPr>
          <w:rFonts w:ascii="Arial" w:eastAsia="Arial" w:hAnsi="Arial" w:cs="Arial"/>
          <w:sz w:val="22"/>
          <w:szCs w:val="22"/>
        </w:rPr>
        <w:t>with</w:t>
      </w:r>
      <w:r w:rsidRPr="000606E3">
        <w:rPr>
          <w:rFonts w:ascii="Arial" w:eastAsia="Arial" w:hAnsi="Arial" w:cs="Arial"/>
          <w:sz w:val="22"/>
          <w:szCs w:val="22"/>
        </w:rPr>
        <w:t xml:space="preserve"> the Nippon Foundation and UNEP </w:t>
      </w:r>
      <w:r>
        <w:rPr>
          <w:rFonts w:ascii="Arial" w:eastAsia="Arial" w:hAnsi="Arial" w:cs="Arial"/>
          <w:sz w:val="22"/>
          <w:szCs w:val="22"/>
        </w:rPr>
        <w:t xml:space="preserve">focused on </w:t>
      </w:r>
      <w:r w:rsidRPr="000606E3">
        <w:rPr>
          <w:rFonts w:ascii="Arial" w:eastAsia="Arial" w:hAnsi="Arial" w:cs="Arial"/>
          <w:sz w:val="22"/>
          <w:szCs w:val="22"/>
        </w:rPr>
        <w:t>develop</w:t>
      </w:r>
      <w:r>
        <w:rPr>
          <w:rFonts w:ascii="Arial" w:eastAsia="Arial" w:hAnsi="Arial" w:cs="Arial"/>
          <w:sz w:val="22"/>
          <w:szCs w:val="22"/>
        </w:rPr>
        <w:t>ing</w:t>
      </w:r>
      <w:r w:rsidRPr="000606E3">
        <w:rPr>
          <w:rFonts w:ascii="Arial" w:eastAsia="Arial" w:hAnsi="Arial" w:cs="Arial"/>
          <w:sz w:val="22"/>
          <w:szCs w:val="22"/>
        </w:rPr>
        <w:t xml:space="preserve"> a decadal implementation plan for ‘</w:t>
      </w:r>
      <w:r w:rsidRPr="000606E3">
        <w:rPr>
          <w:rFonts w:ascii="Arial" w:eastAsia="Arial" w:hAnsi="Arial" w:cs="Arial"/>
          <w:i/>
          <w:iCs/>
          <w:sz w:val="22"/>
          <w:szCs w:val="22"/>
        </w:rPr>
        <w:t xml:space="preserve">A global ocean </w:t>
      </w:r>
      <w:r w:rsidRPr="000606E3">
        <w:rPr>
          <w:rFonts w:ascii="Arial" w:eastAsia="Arial" w:hAnsi="Arial" w:cs="Arial"/>
          <w:i/>
          <w:iCs/>
          <w:sz w:val="22"/>
          <w:szCs w:val="22"/>
        </w:rPr>
        <w:lastRenderedPageBreak/>
        <w:t>free from the harmful impacts of pollution by 2050’</w:t>
      </w:r>
      <w:r w:rsidRPr="000606E3">
        <w:rPr>
          <w:rFonts w:ascii="Arial" w:eastAsia="Arial" w:hAnsi="Arial" w:cs="Arial"/>
          <w:sz w:val="22"/>
          <w:szCs w:val="22"/>
        </w:rPr>
        <w:t>. The concept was presented at the World Ocean Summit in Tokyo in March 2025.</w:t>
      </w:r>
    </w:p>
    <w:p w14:paraId="7ED0A0DB" w14:textId="77777777" w:rsidR="003E0E67" w:rsidRPr="000606E3" w:rsidRDefault="003E0E67" w:rsidP="005F6E3A">
      <w:pPr>
        <w:pStyle w:val="ListParagraph"/>
        <w:numPr>
          <w:ilvl w:val="0"/>
          <w:numId w:val="42"/>
        </w:numPr>
        <w:snapToGrid w:val="0"/>
        <w:spacing w:before="240" w:after="240"/>
        <w:ind w:left="0" w:firstLine="0"/>
        <w:contextualSpacing w:val="0"/>
        <w:rPr>
          <w:rFonts w:ascii="Arial" w:hAnsi="Arial" w:cs="Arial"/>
          <w:sz w:val="22"/>
          <w:szCs w:val="22"/>
        </w:rPr>
      </w:pPr>
      <w:r w:rsidRPr="000606E3">
        <w:rPr>
          <w:rFonts w:ascii="Arial" w:hAnsi="Arial" w:cs="Arial"/>
          <w:sz w:val="22"/>
          <w:szCs w:val="22"/>
        </w:rPr>
        <w:t xml:space="preserve">IOC stepped up its efforts in Marine Spatial Planning (MSP) </w:t>
      </w:r>
      <w:r>
        <w:rPr>
          <w:rFonts w:ascii="Arial" w:hAnsi="Arial" w:cs="Arial"/>
          <w:sz w:val="22"/>
          <w:szCs w:val="22"/>
        </w:rPr>
        <w:t>with numerous OTGA trainings and t</w:t>
      </w:r>
      <w:r w:rsidRPr="000606E3">
        <w:rPr>
          <w:rFonts w:ascii="Arial" w:hAnsi="Arial" w:cs="Arial"/>
          <w:sz w:val="22"/>
          <w:szCs w:val="22"/>
        </w:rPr>
        <w:t xml:space="preserve">wo publications </w:t>
      </w:r>
      <w:bookmarkStart w:id="0" w:name="_Hlk193363706"/>
      <w:r w:rsidRPr="000606E3">
        <w:rPr>
          <w:rFonts w:ascii="Arial" w:hAnsi="Arial" w:cs="Arial"/>
          <w:sz w:val="22"/>
          <w:szCs w:val="22"/>
        </w:rPr>
        <w:t>on the engagement of Indigenous Peoples and Local Communities in MSP</w:t>
      </w:r>
      <w:bookmarkEnd w:id="0"/>
      <w:r w:rsidRPr="000606E3">
        <w:rPr>
          <w:rFonts w:ascii="Arial" w:hAnsi="Arial" w:cs="Arial"/>
          <w:sz w:val="22"/>
          <w:szCs w:val="22"/>
        </w:rPr>
        <w:t xml:space="preserve"> in </w:t>
      </w:r>
      <w:r>
        <w:rPr>
          <w:rFonts w:ascii="Arial" w:hAnsi="Arial" w:cs="Arial"/>
          <w:sz w:val="22"/>
          <w:szCs w:val="22"/>
        </w:rPr>
        <w:t>2024 and</w:t>
      </w:r>
      <w:r w:rsidRPr="000606E3">
        <w:rPr>
          <w:rFonts w:ascii="Arial" w:hAnsi="Arial" w:cs="Arial"/>
          <w:sz w:val="22"/>
          <w:szCs w:val="22"/>
        </w:rPr>
        <w:t xml:space="preserve"> four</w:t>
      </w:r>
      <w:r>
        <w:rPr>
          <w:rFonts w:ascii="Arial" w:hAnsi="Arial" w:cs="Arial"/>
          <w:sz w:val="22"/>
          <w:szCs w:val="22"/>
        </w:rPr>
        <w:t xml:space="preserve"> </w:t>
      </w:r>
      <w:r w:rsidRPr="000606E3">
        <w:rPr>
          <w:rFonts w:ascii="Arial" w:hAnsi="Arial" w:cs="Arial"/>
          <w:sz w:val="22"/>
          <w:szCs w:val="22"/>
        </w:rPr>
        <w:t xml:space="preserve">toolkits on </w:t>
      </w:r>
      <w:bookmarkStart w:id="1" w:name="_Hlk193363768"/>
      <w:r w:rsidRPr="000606E3">
        <w:rPr>
          <w:rFonts w:ascii="Arial" w:hAnsi="Arial" w:cs="Arial"/>
          <w:sz w:val="22"/>
          <w:szCs w:val="22"/>
        </w:rPr>
        <w:t xml:space="preserve">biodiversity, climate, spatial data and offshore wind engagement </w:t>
      </w:r>
      <w:r>
        <w:rPr>
          <w:rFonts w:ascii="Arial" w:hAnsi="Arial" w:cs="Arial"/>
          <w:sz w:val="22"/>
          <w:szCs w:val="22"/>
        </w:rPr>
        <w:t xml:space="preserve">in </w:t>
      </w:r>
      <w:r w:rsidRPr="000606E3">
        <w:rPr>
          <w:rFonts w:ascii="Arial" w:hAnsi="Arial" w:cs="Arial"/>
          <w:sz w:val="22"/>
          <w:szCs w:val="22"/>
        </w:rPr>
        <w:t>2025</w:t>
      </w:r>
      <w:bookmarkEnd w:id="1"/>
      <w:r w:rsidRPr="000606E3">
        <w:rPr>
          <w:rFonts w:ascii="Arial" w:hAnsi="Arial" w:cs="Arial"/>
          <w:sz w:val="22"/>
          <w:szCs w:val="22"/>
        </w:rPr>
        <w:t xml:space="preserve">. A new rapid assessment tool to facilitate national planning processes has been piloted in seven countries in Africa, Western Pacific and Latin America and the Caribbean. </w:t>
      </w:r>
      <w:r>
        <w:rPr>
          <w:rFonts w:ascii="Arial" w:hAnsi="Arial" w:cs="Arial"/>
          <w:sz w:val="22"/>
          <w:szCs w:val="22"/>
        </w:rPr>
        <w:t xml:space="preserve">Renewed </w:t>
      </w:r>
      <w:r w:rsidRPr="000606E3">
        <w:rPr>
          <w:rFonts w:ascii="Arial" w:hAnsi="Arial" w:cs="Arial"/>
          <w:sz w:val="22"/>
          <w:szCs w:val="22"/>
        </w:rPr>
        <w:t xml:space="preserve">financial support from Government of Sweden </w:t>
      </w:r>
      <w:r>
        <w:rPr>
          <w:rFonts w:ascii="Arial" w:hAnsi="Arial" w:cs="Arial"/>
          <w:sz w:val="22"/>
          <w:szCs w:val="22"/>
        </w:rPr>
        <w:t>and the European Commission’s DG MARE w</w:t>
      </w:r>
      <w:r w:rsidRPr="000606E3">
        <w:rPr>
          <w:rFonts w:ascii="Arial" w:hAnsi="Arial" w:cs="Arial"/>
          <w:sz w:val="22"/>
          <w:szCs w:val="22"/>
        </w:rPr>
        <w:t>ill continue to support this work. IOC</w:t>
      </w:r>
      <w:r>
        <w:rPr>
          <w:rFonts w:ascii="Arial" w:hAnsi="Arial" w:cs="Arial"/>
          <w:sz w:val="22"/>
          <w:szCs w:val="22"/>
        </w:rPr>
        <w:t>’s work</w:t>
      </w:r>
      <w:r w:rsidRPr="000606E3">
        <w:rPr>
          <w:rFonts w:ascii="Arial" w:hAnsi="Arial" w:cs="Arial"/>
          <w:sz w:val="22"/>
          <w:szCs w:val="22"/>
        </w:rPr>
        <w:t xml:space="preserve"> on MSP provides a solid basis for advancing the </w:t>
      </w:r>
      <w:r>
        <w:rPr>
          <w:rFonts w:ascii="Arial" w:hAnsi="Arial" w:cs="Arial"/>
          <w:sz w:val="22"/>
          <w:szCs w:val="22"/>
        </w:rPr>
        <w:t>development of an</w:t>
      </w:r>
      <w:r w:rsidRPr="000606E3">
        <w:rPr>
          <w:rFonts w:ascii="Arial" w:hAnsi="Arial" w:cs="Arial"/>
          <w:sz w:val="22"/>
          <w:szCs w:val="22"/>
        </w:rPr>
        <w:t xml:space="preserve"> IOC-wide Strategy on Sustainable Ocean Planning and Management (SOPM), and the new Decade Programme on Sustainable Ocean Planning launched at the </w:t>
      </w:r>
      <w:r>
        <w:rPr>
          <w:rFonts w:ascii="Arial" w:hAnsi="Arial" w:cs="Arial"/>
          <w:sz w:val="22"/>
          <w:szCs w:val="22"/>
        </w:rPr>
        <w:t xml:space="preserve">2024 Ocean Decade Conference in </w:t>
      </w:r>
      <w:r w:rsidRPr="000606E3">
        <w:rPr>
          <w:rFonts w:ascii="Arial" w:hAnsi="Arial" w:cs="Arial"/>
          <w:sz w:val="22"/>
          <w:szCs w:val="22"/>
        </w:rPr>
        <w:t xml:space="preserve">Barcelona. </w:t>
      </w:r>
    </w:p>
    <w:p w14:paraId="24B7F103" w14:textId="6E115731" w:rsidR="003E0E67" w:rsidRDefault="003E0E67" w:rsidP="005F6E3A">
      <w:pPr>
        <w:pStyle w:val="ListParagraph"/>
        <w:numPr>
          <w:ilvl w:val="0"/>
          <w:numId w:val="42"/>
        </w:numPr>
        <w:snapToGrid w:val="0"/>
        <w:spacing w:before="240" w:after="240"/>
        <w:ind w:left="0" w:firstLine="0"/>
        <w:contextualSpacing w:val="0"/>
        <w:rPr>
          <w:rFonts w:ascii="Arial" w:hAnsi="Arial" w:cs="Arial"/>
          <w:color w:val="000000" w:themeColor="text1"/>
          <w:sz w:val="22"/>
          <w:szCs w:val="22"/>
          <w:lang w:val="en-US"/>
        </w:rPr>
      </w:pPr>
      <w:r>
        <w:rPr>
          <w:rFonts w:ascii="Arial" w:hAnsi="Arial" w:cs="Arial"/>
          <w:color w:val="212121"/>
          <w:sz w:val="22"/>
          <w:szCs w:val="22"/>
        </w:rPr>
        <w:t xml:space="preserve">A group of </w:t>
      </w:r>
      <w:r w:rsidRPr="005F6E3A">
        <w:rPr>
          <w:rFonts w:ascii="Arial" w:hAnsi="Arial" w:cs="Arial"/>
          <w:sz w:val="22"/>
          <w:szCs w:val="22"/>
        </w:rPr>
        <w:t>experts</w:t>
      </w:r>
      <w:r>
        <w:rPr>
          <w:rFonts w:ascii="Arial" w:hAnsi="Arial" w:cs="Arial"/>
          <w:color w:val="212121"/>
          <w:sz w:val="22"/>
          <w:szCs w:val="22"/>
        </w:rPr>
        <w:t xml:space="preserve"> mandated by the IOC Assembly worked on developing the implementation plan for the</w:t>
      </w:r>
      <w:r w:rsidRPr="000606E3">
        <w:rPr>
          <w:rFonts w:ascii="Arial" w:hAnsi="Arial" w:cs="Arial"/>
          <w:color w:val="212121"/>
          <w:sz w:val="22"/>
          <w:szCs w:val="22"/>
        </w:rPr>
        <w:t xml:space="preserve"> IOC </w:t>
      </w:r>
      <w:hyperlink r:id="rId17" w:history="1">
        <w:r w:rsidRPr="000606E3">
          <w:rPr>
            <w:rStyle w:val="Hyperlink"/>
            <w:rFonts w:ascii="Arial" w:hAnsi="Arial" w:cs="Arial"/>
            <w:sz w:val="22"/>
            <w:szCs w:val="22"/>
          </w:rPr>
          <w:t>Capacity Development Strategy, 2023–2030</w:t>
        </w:r>
      </w:hyperlink>
      <w:r w:rsidRPr="000606E3">
        <w:rPr>
          <w:rFonts w:ascii="Arial" w:hAnsi="Arial" w:cs="Arial"/>
          <w:color w:val="212121"/>
          <w:sz w:val="22"/>
          <w:szCs w:val="22"/>
        </w:rPr>
        <w:t xml:space="preserve">. The </w:t>
      </w:r>
      <w:proofErr w:type="spellStart"/>
      <w:r w:rsidRPr="000606E3">
        <w:rPr>
          <w:rFonts w:ascii="Arial" w:hAnsi="Arial" w:cs="Arial"/>
          <w:color w:val="212121"/>
          <w:sz w:val="22"/>
          <w:szCs w:val="22"/>
        </w:rPr>
        <w:t>OceanTeacher</w:t>
      </w:r>
      <w:proofErr w:type="spellEnd"/>
      <w:r w:rsidRPr="000606E3">
        <w:rPr>
          <w:rFonts w:ascii="Arial" w:hAnsi="Arial" w:cs="Arial"/>
          <w:color w:val="212121"/>
          <w:sz w:val="22"/>
          <w:szCs w:val="22"/>
        </w:rPr>
        <w:t xml:space="preserve"> Global Academy</w:t>
      </w:r>
      <w:r w:rsidRPr="000606E3">
        <w:rPr>
          <w:rStyle w:val="apple-converted-space"/>
          <w:rFonts w:cs="Arial"/>
          <w:color w:val="212121"/>
          <w:szCs w:val="22"/>
        </w:rPr>
        <w:t> </w:t>
      </w:r>
      <w:r w:rsidRPr="000606E3">
        <w:rPr>
          <w:rFonts w:ascii="Arial" w:hAnsi="Arial" w:cs="Arial"/>
          <w:color w:val="212121"/>
          <w:sz w:val="22"/>
          <w:szCs w:val="22"/>
        </w:rPr>
        <w:t>(OTGA)</w:t>
      </w:r>
      <w:r w:rsidRPr="000606E3">
        <w:rPr>
          <w:rStyle w:val="apple-converted-space"/>
          <w:rFonts w:cs="Arial"/>
          <w:color w:val="212121"/>
          <w:szCs w:val="22"/>
        </w:rPr>
        <w:t xml:space="preserve"> </w:t>
      </w:r>
      <w:r w:rsidRPr="000606E3">
        <w:rPr>
          <w:rFonts w:ascii="Arial" w:hAnsi="Arial" w:cs="Arial"/>
          <w:color w:val="212121"/>
          <w:sz w:val="22"/>
          <w:szCs w:val="22"/>
        </w:rPr>
        <w:t>continue</w:t>
      </w:r>
      <w:r>
        <w:rPr>
          <w:rFonts w:ascii="Arial" w:hAnsi="Arial" w:cs="Arial"/>
          <w:color w:val="212121"/>
          <w:sz w:val="22"/>
          <w:szCs w:val="22"/>
        </w:rPr>
        <w:t xml:space="preserve">d </w:t>
      </w:r>
      <w:r w:rsidRPr="000606E3">
        <w:rPr>
          <w:rFonts w:ascii="Arial" w:hAnsi="Arial" w:cs="Arial"/>
          <w:color w:val="212121"/>
          <w:sz w:val="22"/>
          <w:szCs w:val="22"/>
        </w:rPr>
        <w:t>to grow with</w:t>
      </w:r>
      <w:r w:rsidRPr="000606E3">
        <w:rPr>
          <w:rStyle w:val="apple-converted-space"/>
          <w:rFonts w:cs="Arial"/>
          <w:color w:val="212121"/>
          <w:szCs w:val="22"/>
        </w:rPr>
        <w:t xml:space="preserve"> </w:t>
      </w:r>
      <w:r w:rsidRPr="000606E3">
        <w:rPr>
          <w:rFonts w:ascii="Arial" w:hAnsi="Arial" w:cs="Arial"/>
          <w:color w:val="212121"/>
          <w:sz w:val="22"/>
          <w:szCs w:val="22"/>
        </w:rPr>
        <w:t>an increasing number of trainings (more than 50 courses per year) and approximately 14,000 beneficiaries worldwide. OTGA, a network of</w:t>
      </w:r>
      <w:r w:rsidRPr="000606E3">
        <w:rPr>
          <w:rStyle w:val="apple-converted-space"/>
          <w:rFonts w:cs="Arial"/>
          <w:color w:val="212121"/>
          <w:szCs w:val="22"/>
        </w:rPr>
        <w:t xml:space="preserve"> </w:t>
      </w:r>
      <w:r w:rsidRPr="000606E3">
        <w:rPr>
          <w:rFonts w:ascii="Arial" w:hAnsi="Arial" w:cs="Arial"/>
          <w:color w:val="212121"/>
          <w:sz w:val="22"/>
          <w:szCs w:val="22"/>
        </w:rPr>
        <w:t>17</w:t>
      </w:r>
      <w:r w:rsidRPr="000606E3">
        <w:rPr>
          <w:rStyle w:val="apple-converted-space"/>
          <w:rFonts w:cs="Arial"/>
          <w:color w:val="212121"/>
          <w:szCs w:val="22"/>
        </w:rPr>
        <w:t xml:space="preserve"> </w:t>
      </w:r>
      <w:r w:rsidRPr="000606E3">
        <w:rPr>
          <w:rFonts w:ascii="Arial" w:hAnsi="Arial" w:cs="Arial"/>
          <w:color w:val="212121"/>
          <w:sz w:val="22"/>
          <w:szCs w:val="22"/>
        </w:rPr>
        <w:t>Regional and Specialized</w:t>
      </w:r>
      <w:r w:rsidRPr="000606E3">
        <w:rPr>
          <w:rStyle w:val="apple-converted-space"/>
          <w:rFonts w:cs="Arial"/>
          <w:color w:val="212121"/>
          <w:szCs w:val="22"/>
        </w:rPr>
        <w:t xml:space="preserve"> </w:t>
      </w:r>
      <w:r w:rsidRPr="000606E3">
        <w:rPr>
          <w:rFonts w:ascii="Arial" w:hAnsi="Arial" w:cs="Arial"/>
          <w:color w:val="212121"/>
          <w:sz w:val="22"/>
          <w:szCs w:val="22"/>
        </w:rPr>
        <w:t>Training Centres remains active, and dozens of additional partners have joined the training initiatives over the past two years. With its ISO 29993:2017</w:t>
      </w:r>
      <w:r w:rsidRPr="000606E3">
        <w:rPr>
          <w:rStyle w:val="apple-converted-space"/>
          <w:rFonts w:cs="Arial"/>
          <w:color w:val="212121"/>
          <w:szCs w:val="22"/>
        </w:rPr>
        <w:t> </w:t>
      </w:r>
      <w:r w:rsidRPr="000606E3">
        <w:rPr>
          <w:rFonts w:ascii="Arial" w:hAnsi="Arial" w:cs="Arial"/>
          <w:color w:val="212121"/>
          <w:sz w:val="22"/>
          <w:szCs w:val="22"/>
        </w:rPr>
        <w:t>accreditation as a Learning Service Provider, OTGA certifies hundreds of training participants every year and guarantees a high-quality standardized Learning Management System.</w:t>
      </w:r>
      <w:r w:rsidRPr="000606E3">
        <w:rPr>
          <w:rStyle w:val="apple-converted-space"/>
          <w:rFonts w:cs="Arial"/>
          <w:color w:val="212121"/>
          <w:szCs w:val="22"/>
        </w:rPr>
        <w:t xml:space="preserve"> </w:t>
      </w:r>
      <w:r w:rsidRPr="000606E3">
        <w:rPr>
          <w:rFonts w:ascii="Arial" w:hAnsi="Arial" w:cs="Arial"/>
          <w:color w:val="212121"/>
          <w:sz w:val="22"/>
          <w:szCs w:val="22"/>
        </w:rPr>
        <w:t>With the IOC</w:t>
      </w:r>
      <w:r>
        <w:rPr>
          <w:rFonts w:ascii="Arial" w:hAnsi="Arial" w:cs="Arial"/>
          <w:color w:val="212121"/>
          <w:sz w:val="22"/>
          <w:szCs w:val="22"/>
        </w:rPr>
        <w:t>’s</w:t>
      </w:r>
      <w:r w:rsidRPr="000606E3">
        <w:rPr>
          <w:rFonts w:ascii="Arial" w:hAnsi="Arial" w:cs="Arial"/>
          <w:color w:val="212121"/>
          <w:sz w:val="22"/>
          <w:szCs w:val="22"/>
        </w:rPr>
        <w:t xml:space="preserve"> capacity development effort bolstered by NORAD funding, five activities were launched in 2024, designed jointly with regional and technical subsidiary bodies: (i) establishing Early Warning Systems for Harmful Algae Blooms in Africa; (ii) GLOSS-Africa (Phase 1–North Africa); (iii) support for strategic planning and capacity development for ocean observations under the auspices of GOOS-Africa; (iv) Biodiversity Data Hub for the High Seas; and (v) Ocean</w:t>
      </w:r>
      <w:r w:rsidR="005F6E3A">
        <w:rPr>
          <w:rFonts w:ascii="Arial" w:hAnsi="Arial" w:cs="Arial"/>
          <w:color w:val="212121"/>
          <w:sz w:val="22"/>
          <w:szCs w:val="22"/>
        </w:rPr>
        <w:t xml:space="preserve"> </w:t>
      </w:r>
      <w:r w:rsidRPr="000606E3">
        <w:rPr>
          <w:rFonts w:ascii="Arial" w:hAnsi="Arial" w:cs="Arial"/>
          <w:color w:val="212121"/>
          <w:sz w:val="22"/>
          <w:szCs w:val="22"/>
        </w:rPr>
        <w:t xml:space="preserve">Training internships to enhance global human capacity related to the IOC mandate. </w:t>
      </w:r>
      <w:r w:rsidRPr="000606E3">
        <w:rPr>
          <w:rFonts w:ascii="Arial" w:hAnsi="Arial" w:cs="Arial"/>
          <w:color w:val="000000"/>
          <w:sz w:val="22"/>
          <w:szCs w:val="22"/>
          <w:lang w:val="en-US"/>
        </w:rPr>
        <w:t xml:space="preserve">New funding received in December 2024 </w:t>
      </w:r>
      <w:r>
        <w:rPr>
          <w:rFonts w:ascii="Arial" w:hAnsi="Arial" w:cs="Arial"/>
          <w:color w:val="000000"/>
          <w:sz w:val="22"/>
          <w:szCs w:val="22"/>
          <w:lang w:val="en-US"/>
        </w:rPr>
        <w:t xml:space="preserve">was channeled to </w:t>
      </w:r>
      <w:r w:rsidRPr="000606E3">
        <w:rPr>
          <w:rFonts w:ascii="Arial" w:hAnsi="Arial" w:cs="Arial"/>
          <w:color w:val="000000"/>
          <w:sz w:val="22"/>
          <w:szCs w:val="22"/>
          <w:lang w:val="en-US"/>
        </w:rPr>
        <w:t>support the expansion of</w:t>
      </w:r>
      <w:r>
        <w:rPr>
          <w:rFonts w:ascii="Arial" w:hAnsi="Arial" w:cs="Arial"/>
          <w:color w:val="000000"/>
          <w:sz w:val="22"/>
          <w:szCs w:val="22"/>
          <w:lang w:val="en-US"/>
        </w:rPr>
        <w:t xml:space="preserve"> </w:t>
      </w:r>
      <w:r w:rsidRPr="000606E3">
        <w:rPr>
          <w:rFonts w:ascii="Arial" w:hAnsi="Arial" w:cs="Arial"/>
          <w:color w:val="000000" w:themeColor="text1"/>
          <w:sz w:val="22"/>
          <w:szCs w:val="22"/>
          <w:lang w:val="en-US"/>
        </w:rPr>
        <w:t>early warning systems for harmful algal blooms in Africa, including the updating of data management infrastructure to support such systems, enabling linkages between blooms and deoxygenation to be determined and ensuring that observations associated with the systems contribute to GOOS.</w:t>
      </w:r>
    </w:p>
    <w:p w14:paraId="3FA5D8E1" w14:textId="77777777" w:rsidR="003E0E67" w:rsidRDefault="003E0E67" w:rsidP="005F6E3A">
      <w:pPr>
        <w:pStyle w:val="ListParagraph"/>
        <w:numPr>
          <w:ilvl w:val="0"/>
          <w:numId w:val="42"/>
        </w:numPr>
        <w:snapToGrid w:val="0"/>
        <w:spacing w:before="240" w:after="240"/>
        <w:ind w:left="0" w:firstLine="0"/>
        <w:contextualSpacing w:val="0"/>
      </w:pPr>
      <w:r w:rsidRPr="00F8068F">
        <w:rPr>
          <w:rFonts w:ascii="Arial" w:hAnsi="Arial" w:cs="Arial"/>
          <w:sz w:val="22"/>
          <w:szCs w:val="22"/>
        </w:rPr>
        <w:t>Ocean literacy multi-language trainings and e-learning modules continued through OTGA.</w:t>
      </w:r>
      <w:r w:rsidRPr="00F8068F">
        <w:rPr>
          <w:rFonts w:ascii="Arial" w:eastAsia="Arial" w:hAnsi="Arial" w:cs="Arial"/>
          <w:sz w:val="22"/>
          <w:szCs w:val="22"/>
        </w:rPr>
        <w:t xml:space="preserve"> T</w:t>
      </w:r>
      <w:r w:rsidRPr="00F8068F">
        <w:rPr>
          <w:rFonts w:ascii="Arial" w:hAnsi="Arial" w:cs="Arial"/>
          <w:sz w:val="22"/>
          <w:szCs w:val="22"/>
        </w:rPr>
        <w:t xml:space="preserve">he </w:t>
      </w:r>
      <w:hyperlink r:id="rId18" w:history="1">
        <w:r w:rsidRPr="00F8068F">
          <w:rPr>
            <w:rStyle w:val="Hyperlink"/>
            <w:rFonts w:ascii="Arial" w:hAnsi="Arial" w:cs="Arial"/>
            <w:i/>
            <w:iCs/>
            <w:sz w:val="22"/>
            <w:szCs w:val="22"/>
          </w:rPr>
          <w:t>Ocean Literacy for All Toolkit</w:t>
        </w:r>
      </w:hyperlink>
      <w:r w:rsidRPr="00F8068F">
        <w:rPr>
          <w:rFonts w:ascii="Arial" w:hAnsi="Arial" w:cs="Arial"/>
          <w:sz w:val="22"/>
          <w:szCs w:val="22"/>
        </w:rPr>
        <w:t xml:space="preserve"> in Swahili is now accessible to over 2,000,000 Kiswahili speakers in the East Africa sub-region, including the Democratic Republic of the Congo, Comoros, Kenya, Tanzania, and Somalia.</w:t>
      </w:r>
    </w:p>
    <w:p w14:paraId="587E12F1" w14:textId="77777777" w:rsidR="003E0E67" w:rsidRPr="000606E3" w:rsidRDefault="003E0E67" w:rsidP="005F6E3A">
      <w:pPr>
        <w:pStyle w:val="ListParagraph"/>
        <w:numPr>
          <w:ilvl w:val="0"/>
          <w:numId w:val="42"/>
        </w:numPr>
        <w:snapToGrid w:val="0"/>
        <w:spacing w:before="240" w:after="240"/>
        <w:ind w:left="0" w:firstLine="0"/>
        <w:contextualSpacing w:val="0"/>
        <w:rPr>
          <w:rFonts w:ascii="Arial" w:hAnsi="Arial" w:cs="Arial"/>
          <w:color w:val="000000" w:themeColor="text1"/>
          <w:sz w:val="22"/>
          <w:szCs w:val="22"/>
        </w:rPr>
      </w:pPr>
      <w:r w:rsidRPr="005F6E3A">
        <w:rPr>
          <w:rFonts w:ascii="Arial" w:hAnsi="Arial" w:cs="Arial"/>
          <w:sz w:val="22"/>
          <w:szCs w:val="22"/>
        </w:rPr>
        <w:t>Ensuring</w:t>
      </w:r>
      <w:r w:rsidRPr="000606E3">
        <w:rPr>
          <w:rFonts w:ascii="Arial" w:hAnsi="Arial" w:cs="Arial"/>
          <w:color w:val="000000"/>
          <w:sz w:val="22"/>
          <w:szCs w:val="22"/>
          <w:lang w:val="en-US"/>
        </w:rPr>
        <w:t xml:space="preserve"> alignment with evolving national and regional priorities and strategies is paramount for the success of our action for Global </w:t>
      </w:r>
      <w:r w:rsidRPr="000606E3">
        <w:rPr>
          <w:rFonts w:ascii="Arial" w:hAnsi="Arial" w:cs="Arial"/>
          <w:color w:val="000000"/>
          <w:sz w:val="22"/>
          <w:szCs w:val="22"/>
        </w:rPr>
        <w:t>Priority Africa. The Africa Ocean Decade Task Force promote</w:t>
      </w:r>
      <w:r>
        <w:rPr>
          <w:rFonts w:ascii="Arial" w:hAnsi="Arial" w:cs="Arial"/>
          <w:color w:val="000000"/>
          <w:sz w:val="22"/>
          <w:szCs w:val="22"/>
        </w:rPr>
        <w:t>d</w:t>
      </w:r>
      <w:r w:rsidRPr="000606E3">
        <w:rPr>
          <w:rFonts w:ascii="Arial" w:hAnsi="Arial" w:cs="Arial"/>
          <w:color w:val="000000"/>
          <w:sz w:val="22"/>
          <w:szCs w:val="22"/>
        </w:rPr>
        <w:t xml:space="preserve"> the implementation of the </w:t>
      </w:r>
      <w:hyperlink r:id="rId19" w:history="1">
        <w:r w:rsidRPr="00F8068F">
          <w:rPr>
            <w:rStyle w:val="Hyperlink"/>
            <w:rFonts w:ascii="Arial" w:hAnsi="Arial" w:cs="Arial"/>
            <w:i/>
            <w:iCs/>
            <w:sz w:val="22"/>
            <w:szCs w:val="22"/>
          </w:rPr>
          <w:t>Ocean Decade Africa Roadmap</w:t>
        </w:r>
      </w:hyperlink>
      <w:r w:rsidRPr="000606E3">
        <w:rPr>
          <w:rFonts w:ascii="Arial" w:hAnsi="Arial" w:cs="Arial"/>
          <w:i/>
          <w:iCs/>
          <w:color w:val="000000"/>
          <w:sz w:val="22"/>
          <w:szCs w:val="22"/>
        </w:rPr>
        <w:t>,</w:t>
      </w:r>
      <w:r w:rsidRPr="000606E3">
        <w:rPr>
          <w:rFonts w:ascii="Arial" w:hAnsi="Arial" w:cs="Arial"/>
          <w:color w:val="000000"/>
          <w:sz w:val="22"/>
          <w:szCs w:val="22"/>
        </w:rPr>
        <w:t xml:space="preserve"> including the development and launch of a new Decade programme on sustainable ocean management in Africa. Similarly, the Tropical Americas and Caribbean Taskforce </w:t>
      </w:r>
      <w:r>
        <w:rPr>
          <w:rFonts w:ascii="Arial" w:hAnsi="Arial" w:cs="Arial"/>
          <w:color w:val="000000"/>
          <w:sz w:val="22"/>
          <w:szCs w:val="22"/>
        </w:rPr>
        <w:t>guided</w:t>
      </w:r>
      <w:r w:rsidRPr="000606E3">
        <w:rPr>
          <w:rFonts w:ascii="Arial" w:hAnsi="Arial" w:cs="Arial"/>
          <w:color w:val="000000"/>
          <w:sz w:val="22"/>
          <w:szCs w:val="22"/>
        </w:rPr>
        <w:t xml:space="preserve"> the implementation of the Ocean Decade Africa Roadmap. In the WESTPAC </w:t>
      </w:r>
      <w:r w:rsidRPr="000606E3">
        <w:rPr>
          <w:rFonts w:ascii="Arial" w:hAnsi="Arial" w:cs="Arial"/>
          <w:sz w:val="22"/>
          <w:szCs w:val="22"/>
        </w:rPr>
        <w:t>region</w:t>
      </w:r>
      <w:r w:rsidRPr="000606E3">
        <w:rPr>
          <w:rFonts w:ascii="Arial" w:hAnsi="Arial" w:cs="Arial"/>
          <w:color w:val="000000"/>
          <w:sz w:val="22"/>
          <w:szCs w:val="22"/>
        </w:rPr>
        <w:t xml:space="preserve">, </w:t>
      </w:r>
      <w:r w:rsidRPr="000606E3">
        <w:rPr>
          <w:rFonts w:ascii="Arial" w:hAnsi="Arial" w:cs="Arial"/>
          <w:color w:val="000000"/>
          <w:sz w:val="22"/>
          <w:szCs w:val="22"/>
          <w:lang w:val="en-US"/>
        </w:rPr>
        <w:t xml:space="preserve">immense efforts have been made to align ocean science with societal needs including through national and international agreements and policy frameworks. A milestone was reached </w:t>
      </w:r>
      <w:r w:rsidRPr="000606E3">
        <w:rPr>
          <w:rFonts w:ascii="Arial" w:hAnsi="Arial" w:cs="Arial"/>
          <w:color w:val="000000" w:themeColor="text1"/>
          <w:sz w:val="22"/>
          <w:szCs w:val="22"/>
          <w:lang w:val="en-US"/>
        </w:rPr>
        <w:t>with the organization of the 2</w:t>
      </w:r>
      <w:r w:rsidRPr="000606E3">
        <w:rPr>
          <w:rFonts w:ascii="Arial" w:hAnsi="Arial" w:cs="Arial"/>
          <w:color w:val="000000" w:themeColor="text1"/>
          <w:sz w:val="22"/>
          <w:szCs w:val="22"/>
          <w:vertAlign w:val="superscript"/>
          <w:lang w:val="en-US"/>
        </w:rPr>
        <w:t>nd</w:t>
      </w:r>
      <w:r w:rsidRPr="000606E3">
        <w:rPr>
          <w:rFonts w:ascii="Arial" w:hAnsi="Arial" w:cs="Arial"/>
          <w:color w:val="000000" w:themeColor="text1"/>
          <w:sz w:val="22"/>
          <w:szCs w:val="22"/>
          <w:lang w:val="en-US"/>
        </w:rPr>
        <w:t xml:space="preserve"> UN Ocean Decade Regional Conference and the 11</w:t>
      </w:r>
      <w:r w:rsidRPr="000606E3">
        <w:rPr>
          <w:rFonts w:ascii="Arial" w:hAnsi="Arial" w:cs="Arial"/>
          <w:color w:val="000000" w:themeColor="text1"/>
          <w:sz w:val="22"/>
          <w:szCs w:val="22"/>
          <w:vertAlign w:val="superscript"/>
          <w:lang w:val="en-US"/>
        </w:rPr>
        <w:t>th</w:t>
      </w:r>
      <w:r w:rsidRPr="000606E3">
        <w:rPr>
          <w:rFonts w:ascii="Arial" w:hAnsi="Arial" w:cs="Arial"/>
          <w:color w:val="000000" w:themeColor="text1"/>
          <w:sz w:val="22"/>
          <w:szCs w:val="22"/>
          <w:lang w:val="en-US"/>
        </w:rPr>
        <w:t xml:space="preserve"> WESTPAC International Marine Science Conference (22–25 April 2024) hosted by Thailand, which brought together more than 1,200 stakeholders from 40 countries in the region and beyond</w:t>
      </w:r>
      <w:r w:rsidRPr="000606E3">
        <w:rPr>
          <w:rFonts w:ascii="Arial" w:hAnsi="Arial" w:cs="Arial"/>
          <w:color w:val="000000" w:themeColor="text1"/>
          <w:sz w:val="22"/>
          <w:szCs w:val="22"/>
          <w:shd w:val="clear" w:color="auto" w:fill="FFFFFF"/>
        </w:rPr>
        <w:t xml:space="preserve">. A regional framework for action to accelerate marine spatial planning was adopted to support the </w:t>
      </w:r>
      <w:hyperlink r:id="rId20" w:history="1">
        <w:proofErr w:type="spellStart"/>
        <w:r w:rsidRPr="000606E3">
          <w:rPr>
            <w:rStyle w:val="Hyperlink"/>
            <w:rFonts w:ascii="Arial" w:hAnsi="Arial" w:cs="Arial"/>
            <w:sz w:val="22"/>
            <w:szCs w:val="22"/>
            <w:shd w:val="clear" w:color="auto" w:fill="FFFFFF"/>
          </w:rPr>
          <w:t>MSPglobal</w:t>
        </w:r>
        <w:proofErr w:type="spellEnd"/>
        <w:r w:rsidRPr="000606E3">
          <w:rPr>
            <w:rStyle w:val="Hyperlink"/>
            <w:rFonts w:ascii="Arial" w:hAnsi="Arial" w:cs="Arial"/>
            <w:sz w:val="22"/>
            <w:szCs w:val="22"/>
            <w:shd w:val="clear" w:color="auto" w:fill="FFFFFF"/>
          </w:rPr>
          <w:t xml:space="preserve"> 2.0</w:t>
        </w:r>
      </w:hyperlink>
      <w:r w:rsidRPr="000606E3">
        <w:rPr>
          <w:rFonts w:ascii="Arial" w:hAnsi="Arial" w:cs="Arial"/>
          <w:color w:val="000000" w:themeColor="text1"/>
          <w:sz w:val="22"/>
          <w:szCs w:val="22"/>
          <w:shd w:val="clear" w:color="auto" w:fill="FFFFFF"/>
        </w:rPr>
        <w:t>.</w:t>
      </w:r>
    </w:p>
    <w:p w14:paraId="77A99445" w14:textId="77777777" w:rsidR="003E0E67" w:rsidRPr="000606E3" w:rsidRDefault="003E0E67" w:rsidP="005F6E3A">
      <w:pPr>
        <w:pStyle w:val="ListParagraph"/>
        <w:numPr>
          <w:ilvl w:val="0"/>
          <w:numId w:val="42"/>
        </w:numPr>
        <w:snapToGrid w:val="0"/>
        <w:spacing w:before="240" w:after="240"/>
        <w:ind w:left="0" w:firstLine="0"/>
        <w:contextualSpacing w:val="0"/>
        <w:rPr>
          <w:rFonts w:ascii="Arial" w:hAnsi="Arial" w:cs="Arial"/>
          <w:color w:val="000000"/>
          <w:sz w:val="22"/>
          <w:szCs w:val="22"/>
        </w:rPr>
      </w:pPr>
      <w:r w:rsidRPr="000606E3">
        <w:rPr>
          <w:rFonts w:ascii="Arial" w:hAnsi="Arial" w:cs="Arial"/>
          <w:color w:val="000000"/>
          <w:sz w:val="22"/>
          <w:szCs w:val="22"/>
        </w:rPr>
        <w:t xml:space="preserve">As a </w:t>
      </w:r>
      <w:r w:rsidRPr="005F6E3A">
        <w:rPr>
          <w:rFonts w:ascii="Arial" w:hAnsi="Arial" w:cs="Arial"/>
          <w:sz w:val="22"/>
          <w:szCs w:val="22"/>
        </w:rPr>
        <w:t>contribution</w:t>
      </w:r>
      <w:r w:rsidRPr="000606E3">
        <w:rPr>
          <w:rFonts w:ascii="Arial" w:hAnsi="Arial" w:cs="Arial"/>
          <w:color w:val="000000"/>
          <w:sz w:val="22"/>
          <w:szCs w:val="22"/>
        </w:rPr>
        <w:t xml:space="preserve"> to the UNESCO operational strategy on SIDS, IOC</w:t>
      </w:r>
      <w:r w:rsidRPr="000606E3">
        <w:rPr>
          <w:rFonts w:ascii="Arial" w:hAnsi="Arial" w:cs="Arial"/>
          <w:sz w:val="22"/>
          <w:szCs w:val="22"/>
        </w:rPr>
        <w:t xml:space="preserve"> </w:t>
      </w:r>
      <w:r>
        <w:rPr>
          <w:rFonts w:ascii="Arial" w:hAnsi="Arial" w:cs="Arial"/>
          <w:sz w:val="22"/>
          <w:szCs w:val="22"/>
        </w:rPr>
        <w:t>fostered</w:t>
      </w:r>
      <w:r w:rsidRPr="000606E3">
        <w:rPr>
          <w:rFonts w:ascii="Arial" w:hAnsi="Arial" w:cs="Arial"/>
          <w:color w:val="000000"/>
          <w:sz w:val="22"/>
          <w:szCs w:val="22"/>
        </w:rPr>
        <w:t xml:space="preserve"> engagement </w:t>
      </w:r>
      <w:r>
        <w:rPr>
          <w:rFonts w:ascii="Arial" w:hAnsi="Arial" w:cs="Arial"/>
          <w:color w:val="000000"/>
          <w:sz w:val="22"/>
          <w:szCs w:val="22"/>
        </w:rPr>
        <w:t>of</w:t>
      </w:r>
      <w:r w:rsidRPr="000606E3">
        <w:rPr>
          <w:rFonts w:ascii="Arial" w:hAnsi="Arial" w:cs="Arial"/>
          <w:color w:val="000000"/>
          <w:sz w:val="22"/>
          <w:szCs w:val="22"/>
        </w:rPr>
        <w:t xml:space="preserve"> SIDS in the Ocean Decade through the establishment of a decentralized coordination hub for the Pacific Islands Region, hosted by The Pacific Community, and </w:t>
      </w:r>
      <w:r>
        <w:rPr>
          <w:rFonts w:ascii="Arial" w:hAnsi="Arial" w:cs="Arial"/>
          <w:color w:val="000000"/>
          <w:sz w:val="22"/>
          <w:szCs w:val="22"/>
        </w:rPr>
        <w:t>with the T</w:t>
      </w:r>
      <w:r w:rsidRPr="000606E3">
        <w:rPr>
          <w:rFonts w:ascii="Arial" w:hAnsi="Arial" w:cs="Arial"/>
          <w:color w:val="000000"/>
          <w:sz w:val="22"/>
          <w:szCs w:val="22"/>
        </w:rPr>
        <w:t xml:space="preserve">askforce for the Tropical Americas and Caribbean Region </w:t>
      </w:r>
      <w:r>
        <w:rPr>
          <w:rFonts w:ascii="Arial" w:hAnsi="Arial" w:cs="Arial"/>
          <w:color w:val="000000"/>
          <w:sz w:val="22"/>
          <w:szCs w:val="22"/>
        </w:rPr>
        <w:t>guiding</w:t>
      </w:r>
      <w:r w:rsidRPr="000606E3">
        <w:rPr>
          <w:rFonts w:ascii="Arial" w:hAnsi="Arial" w:cs="Arial"/>
          <w:color w:val="000000"/>
          <w:sz w:val="22"/>
          <w:szCs w:val="22"/>
        </w:rPr>
        <w:t xml:space="preserve"> implementation in th</w:t>
      </w:r>
      <w:r>
        <w:rPr>
          <w:rFonts w:ascii="Arial" w:hAnsi="Arial" w:cs="Arial"/>
          <w:color w:val="000000"/>
          <w:sz w:val="22"/>
          <w:szCs w:val="22"/>
        </w:rPr>
        <w:t>at</w:t>
      </w:r>
      <w:r w:rsidRPr="000606E3">
        <w:rPr>
          <w:rFonts w:ascii="Arial" w:hAnsi="Arial" w:cs="Arial"/>
          <w:color w:val="000000"/>
          <w:sz w:val="22"/>
          <w:szCs w:val="22"/>
        </w:rPr>
        <w:t xml:space="preserve"> region. </w:t>
      </w:r>
    </w:p>
    <w:p w14:paraId="589320D1" w14:textId="70857D2B" w:rsidR="008D1EEC" w:rsidRPr="00F8068F" w:rsidRDefault="008D1EEC" w:rsidP="00AA2CD5">
      <w:pPr>
        <w:spacing w:after="240"/>
        <w:jc w:val="both"/>
        <w:rPr>
          <w:b/>
          <w:bCs/>
          <w:color w:val="000000" w:themeColor="text1"/>
          <w:szCs w:val="22"/>
        </w:rPr>
      </w:pPr>
      <w:r w:rsidRPr="00F8068F">
        <w:rPr>
          <w:b/>
          <w:bCs/>
          <w:color w:val="000000" w:themeColor="text1"/>
          <w:szCs w:val="22"/>
        </w:rPr>
        <w:lastRenderedPageBreak/>
        <w:t>Challenges and Opportunities</w:t>
      </w:r>
    </w:p>
    <w:p w14:paraId="6751A973" w14:textId="2A4AE5AB" w:rsidR="00590C03" w:rsidRPr="005F6E3A" w:rsidRDefault="008823B5" w:rsidP="005F6E3A">
      <w:pPr>
        <w:pStyle w:val="ListParagraph"/>
        <w:numPr>
          <w:ilvl w:val="0"/>
          <w:numId w:val="42"/>
        </w:numPr>
        <w:snapToGrid w:val="0"/>
        <w:spacing w:before="240" w:after="240"/>
        <w:ind w:left="0" w:firstLine="0"/>
        <w:contextualSpacing w:val="0"/>
        <w:rPr>
          <w:rFonts w:ascii="Arial" w:hAnsi="Arial" w:cs="Arial"/>
          <w:sz w:val="22"/>
          <w:szCs w:val="22"/>
        </w:rPr>
      </w:pPr>
      <w:r w:rsidRPr="005F6E3A">
        <w:rPr>
          <w:rFonts w:ascii="Arial" w:hAnsi="Arial" w:cs="Arial"/>
          <w:b/>
          <w:bCs/>
          <w:sz w:val="22"/>
          <w:szCs w:val="22"/>
        </w:rPr>
        <w:t>Capacity and funding gaps:</w:t>
      </w:r>
      <w:r w:rsidRPr="005F6E3A">
        <w:rPr>
          <w:rFonts w:ascii="Arial" w:hAnsi="Arial" w:cs="Arial"/>
          <w:sz w:val="22"/>
          <w:szCs w:val="22"/>
        </w:rPr>
        <w:t xml:space="preserve"> </w:t>
      </w:r>
      <w:r w:rsidR="003756CF" w:rsidRPr="005F6E3A">
        <w:rPr>
          <w:rFonts w:ascii="Arial" w:hAnsi="Arial" w:cs="Arial"/>
          <w:sz w:val="22"/>
          <w:szCs w:val="22"/>
        </w:rPr>
        <w:t xml:space="preserve">Despite the </w:t>
      </w:r>
      <w:r w:rsidR="003A0024" w:rsidRPr="005F6E3A">
        <w:rPr>
          <w:rFonts w:ascii="Arial" w:hAnsi="Arial" w:cs="Arial"/>
          <w:sz w:val="22"/>
          <w:szCs w:val="22"/>
        </w:rPr>
        <w:t xml:space="preserve">growing recognition of the IOC’s role, understaffing in areas identified by the Commission’s </w:t>
      </w:r>
      <w:r w:rsidR="00CE799A" w:rsidRPr="005F6E3A">
        <w:rPr>
          <w:rFonts w:ascii="Arial" w:hAnsi="Arial" w:cs="Arial"/>
          <w:sz w:val="22"/>
          <w:szCs w:val="22"/>
        </w:rPr>
        <w:t xml:space="preserve">Member States as ‘critically vulnerable’ has posed significant challenges. </w:t>
      </w:r>
      <w:r w:rsidR="007B1B9A" w:rsidRPr="005F6E3A">
        <w:rPr>
          <w:rFonts w:ascii="Arial" w:hAnsi="Arial" w:cs="Arial"/>
          <w:sz w:val="22"/>
          <w:szCs w:val="22"/>
        </w:rPr>
        <w:t xml:space="preserve">These capacity gaps not only strain programme delivery but also hinder the ability to </w:t>
      </w:r>
      <w:r w:rsidR="00F10024" w:rsidRPr="005F6E3A">
        <w:rPr>
          <w:rFonts w:ascii="Arial" w:hAnsi="Arial" w:cs="Arial"/>
          <w:sz w:val="22"/>
          <w:szCs w:val="22"/>
        </w:rPr>
        <w:t>achieve ambitious resource mobilisation targets.</w:t>
      </w:r>
      <w:r w:rsidR="002D14C8" w:rsidRPr="005F6E3A">
        <w:rPr>
          <w:rFonts w:ascii="Arial" w:hAnsi="Arial" w:cs="Arial"/>
          <w:sz w:val="22"/>
          <w:szCs w:val="22"/>
        </w:rPr>
        <w:t xml:space="preserve"> </w:t>
      </w:r>
      <w:r w:rsidR="00E334EB" w:rsidRPr="005F6E3A">
        <w:rPr>
          <w:rFonts w:ascii="Arial" w:hAnsi="Arial" w:cs="Arial"/>
          <w:sz w:val="22"/>
          <w:szCs w:val="22"/>
        </w:rPr>
        <w:t>Maintaining and evolving vital systems such as the Ocean</w:t>
      </w:r>
      <w:r w:rsidR="003640DC" w:rsidRPr="005F6E3A">
        <w:rPr>
          <w:rFonts w:ascii="Arial" w:hAnsi="Arial" w:cs="Arial"/>
          <w:sz w:val="22"/>
          <w:szCs w:val="22"/>
        </w:rPr>
        <w:t xml:space="preserve"> Data &amp; Information System (ODIS), the Ocean Biodiversity Information System (OBIS), and the </w:t>
      </w:r>
      <w:r w:rsidR="00C76160" w:rsidRPr="005F6E3A">
        <w:rPr>
          <w:rFonts w:ascii="Arial" w:hAnsi="Arial" w:cs="Arial"/>
          <w:sz w:val="22"/>
          <w:szCs w:val="22"/>
        </w:rPr>
        <w:t>Global Ocean Observing System</w:t>
      </w:r>
      <w:r w:rsidR="005F6E3A">
        <w:rPr>
          <w:rFonts w:ascii="Arial" w:hAnsi="Arial" w:cs="Arial"/>
          <w:sz w:val="22"/>
          <w:szCs w:val="22"/>
        </w:rPr>
        <w:t xml:space="preserve"> </w:t>
      </w:r>
      <w:r w:rsidR="00C76160" w:rsidRPr="005F6E3A">
        <w:rPr>
          <w:rFonts w:ascii="Arial" w:hAnsi="Arial" w:cs="Arial"/>
          <w:sz w:val="22"/>
          <w:szCs w:val="22"/>
        </w:rPr>
        <w:t xml:space="preserve">(GOOS) is key for Member States to deliver on national </w:t>
      </w:r>
      <w:r w:rsidR="009D30AD" w:rsidRPr="005F6E3A">
        <w:rPr>
          <w:rFonts w:ascii="Arial" w:hAnsi="Arial" w:cs="Arial"/>
          <w:sz w:val="22"/>
          <w:szCs w:val="22"/>
        </w:rPr>
        <w:t>and global commitments. Integral to ocean science, industry and governance, they require stable and sustainable funding</w:t>
      </w:r>
      <w:r w:rsidR="002D14C8" w:rsidRPr="005F6E3A">
        <w:rPr>
          <w:rFonts w:ascii="Arial" w:hAnsi="Arial" w:cs="Arial"/>
          <w:sz w:val="22"/>
          <w:szCs w:val="22"/>
        </w:rPr>
        <w:t xml:space="preserve">. Realising the full promise of the Ocean Decade </w:t>
      </w:r>
      <w:r w:rsidR="001E7522" w:rsidRPr="005F6E3A">
        <w:rPr>
          <w:rFonts w:ascii="Arial" w:hAnsi="Arial" w:cs="Arial"/>
          <w:sz w:val="22"/>
          <w:szCs w:val="22"/>
        </w:rPr>
        <w:t xml:space="preserve">requires greater investment. Aspiring goals, such as </w:t>
      </w:r>
      <w:r w:rsidR="00B94164" w:rsidRPr="005F6E3A">
        <w:rPr>
          <w:rFonts w:ascii="Arial" w:hAnsi="Arial" w:cs="Arial"/>
          <w:sz w:val="22"/>
          <w:szCs w:val="22"/>
        </w:rPr>
        <w:t xml:space="preserve">ensuring 100% of </w:t>
      </w:r>
      <w:r w:rsidR="005F6E3A" w:rsidRPr="005F6E3A">
        <w:rPr>
          <w:rFonts w:ascii="Arial" w:hAnsi="Arial" w:cs="Arial"/>
          <w:sz w:val="22"/>
          <w:szCs w:val="22"/>
        </w:rPr>
        <w:t>at-risk</w:t>
      </w:r>
      <w:r w:rsidR="00B94164" w:rsidRPr="005F6E3A">
        <w:rPr>
          <w:rFonts w:ascii="Arial" w:hAnsi="Arial" w:cs="Arial"/>
          <w:sz w:val="22"/>
          <w:szCs w:val="22"/>
        </w:rPr>
        <w:t xml:space="preserve"> communities recognized as Tsunami Ready </w:t>
      </w:r>
      <w:r w:rsidR="00C318D0" w:rsidRPr="005F6E3A">
        <w:rPr>
          <w:rFonts w:ascii="Arial" w:hAnsi="Arial" w:cs="Arial"/>
          <w:sz w:val="22"/>
          <w:szCs w:val="22"/>
        </w:rPr>
        <w:t>and mapping the entire ocean floor in high resolution through the Seabed2030 Programme, demand enhanced resources and coordinated global effort.</w:t>
      </w:r>
    </w:p>
    <w:p w14:paraId="0F6CA397" w14:textId="4DA409DB" w:rsidR="008D1EEC" w:rsidRPr="005F6E3A" w:rsidRDefault="00D44B24" w:rsidP="005F6E3A">
      <w:pPr>
        <w:pStyle w:val="ListParagraph"/>
        <w:numPr>
          <w:ilvl w:val="0"/>
          <w:numId w:val="42"/>
        </w:numPr>
        <w:snapToGrid w:val="0"/>
        <w:spacing w:before="240" w:after="240"/>
        <w:ind w:left="0" w:firstLine="0"/>
        <w:contextualSpacing w:val="0"/>
        <w:rPr>
          <w:rFonts w:ascii="Arial" w:hAnsi="Arial" w:cs="Arial"/>
          <w:b/>
          <w:bCs/>
          <w:sz w:val="22"/>
          <w:szCs w:val="22"/>
        </w:rPr>
      </w:pPr>
      <w:r w:rsidRPr="005F6E3A">
        <w:rPr>
          <w:rFonts w:ascii="Arial" w:hAnsi="Arial" w:cs="Arial"/>
          <w:b/>
          <w:bCs/>
          <w:sz w:val="22"/>
          <w:szCs w:val="22"/>
        </w:rPr>
        <w:t>A</w:t>
      </w:r>
      <w:r w:rsidR="00171EF4" w:rsidRPr="005F6E3A">
        <w:rPr>
          <w:rFonts w:ascii="Arial" w:hAnsi="Arial" w:cs="Arial"/>
          <w:b/>
          <w:bCs/>
          <w:sz w:val="22"/>
          <w:szCs w:val="22"/>
        </w:rPr>
        <w:t xml:space="preserve">mplifying impact through partnerships: </w:t>
      </w:r>
      <w:r w:rsidR="00891D09" w:rsidRPr="005F6E3A">
        <w:rPr>
          <w:rFonts w:ascii="Arial" w:hAnsi="Arial" w:cs="Arial"/>
          <w:sz w:val="22"/>
          <w:szCs w:val="22"/>
        </w:rPr>
        <w:t>The Ocean Decade Alliance</w:t>
      </w:r>
      <w:r w:rsidR="007457B7" w:rsidRPr="005F6E3A">
        <w:rPr>
          <w:rFonts w:ascii="Arial" w:hAnsi="Arial" w:cs="Arial"/>
          <w:sz w:val="22"/>
          <w:szCs w:val="22"/>
        </w:rPr>
        <w:t xml:space="preserve"> will continue to </w:t>
      </w:r>
      <w:r w:rsidR="00875ECD" w:rsidRPr="005F6E3A">
        <w:rPr>
          <w:rFonts w:ascii="Arial" w:hAnsi="Arial" w:cs="Arial"/>
          <w:sz w:val="22"/>
          <w:szCs w:val="22"/>
        </w:rPr>
        <w:t>catalyse</w:t>
      </w:r>
      <w:r w:rsidR="007457B7" w:rsidRPr="005F6E3A">
        <w:rPr>
          <w:rFonts w:ascii="Arial" w:hAnsi="Arial" w:cs="Arial"/>
          <w:sz w:val="22"/>
          <w:szCs w:val="22"/>
        </w:rPr>
        <w:t xml:space="preserve"> impactful collaborations. Philanthropic net</w:t>
      </w:r>
      <w:r w:rsidR="00AC6A22" w:rsidRPr="005F6E3A">
        <w:rPr>
          <w:rFonts w:ascii="Arial" w:hAnsi="Arial" w:cs="Arial"/>
          <w:sz w:val="22"/>
          <w:szCs w:val="22"/>
        </w:rPr>
        <w:t>works like the Ocean Decade</w:t>
      </w:r>
      <w:r w:rsidR="00B64631" w:rsidRPr="005F6E3A">
        <w:rPr>
          <w:rFonts w:ascii="Arial" w:hAnsi="Arial" w:cs="Arial"/>
          <w:sz w:val="22"/>
          <w:szCs w:val="22"/>
        </w:rPr>
        <w:t xml:space="preserve"> Foundations Dialogue and partnerships with organizations like the Belmo</w:t>
      </w:r>
      <w:r w:rsidR="00BD6E89" w:rsidRPr="005F6E3A">
        <w:rPr>
          <w:rFonts w:ascii="Arial" w:hAnsi="Arial" w:cs="Arial"/>
          <w:sz w:val="22"/>
          <w:szCs w:val="22"/>
        </w:rPr>
        <w:t>nt Forum and the European Commission-led Sustainable Blue Economy Partnership offer avenues for co-branded initiatives and joint calls for a</w:t>
      </w:r>
      <w:r w:rsidR="00C7393A" w:rsidRPr="005F6E3A">
        <w:rPr>
          <w:rFonts w:ascii="Arial" w:hAnsi="Arial" w:cs="Arial"/>
          <w:sz w:val="22"/>
          <w:szCs w:val="22"/>
        </w:rPr>
        <w:t>ction. IOC aims a</w:t>
      </w:r>
      <w:r w:rsidR="0096159B" w:rsidRPr="005F6E3A">
        <w:rPr>
          <w:rFonts w:ascii="Arial" w:hAnsi="Arial" w:cs="Arial"/>
          <w:sz w:val="22"/>
          <w:szCs w:val="22"/>
        </w:rPr>
        <w:t xml:space="preserve">t strengthening its </w:t>
      </w:r>
      <w:r w:rsidR="00DF1664" w:rsidRPr="005F6E3A">
        <w:rPr>
          <w:rFonts w:ascii="Arial" w:hAnsi="Arial" w:cs="Arial"/>
          <w:sz w:val="22"/>
          <w:szCs w:val="22"/>
        </w:rPr>
        <w:t>role as a knowledge partner for initiatives of G20, G7, and the High-Level Panel for a Sustainable Ocean Economy.</w:t>
      </w:r>
      <w:r w:rsidR="00A23B4A" w:rsidRPr="005F6E3A">
        <w:rPr>
          <w:rFonts w:ascii="Arial" w:hAnsi="Arial" w:cs="Arial"/>
          <w:sz w:val="22"/>
          <w:szCs w:val="22"/>
        </w:rPr>
        <w:t xml:space="preserve"> Reinforced partnerships with international organizations and UN bodies will </w:t>
      </w:r>
      <w:r w:rsidR="00703F52" w:rsidRPr="005F6E3A">
        <w:rPr>
          <w:rFonts w:ascii="Arial" w:hAnsi="Arial" w:cs="Arial"/>
          <w:sz w:val="22"/>
          <w:szCs w:val="22"/>
        </w:rPr>
        <w:t>be key to our success.</w:t>
      </w:r>
      <w:r w:rsidR="00DF1664" w:rsidRPr="005F6E3A">
        <w:rPr>
          <w:rFonts w:ascii="Arial" w:hAnsi="Arial" w:cs="Arial"/>
          <w:sz w:val="22"/>
          <w:szCs w:val="22"/>
        </w:rPr>
        <w:t xml:space="preserve"> </w:t>
      </w:r>
      <w:r w:rsidR="00EE237B" w:rsidRPr="005F6E3A">
        <w:rPr>
          <w:rFonts w:ascii="Arial" w:hAnsi="Arial" w:cs="Arial"/>
          <w:sz w:val="22"/>
          <w:szCs w:val="22"/>
        </w:rPr>
        <w:t>Innova</w:t>
      </w:r>
      <w:r w:rsidR="00490261" w:rsidRPr="005F6E3A">
        <w:rPr>
          <w:rFonts w:ascii="Arial" w:hAnsi="Arial" w:cs="Arial"/>
          <w:sz w:val="22"/>
          <w:szCs w:val="22"/>
        </w:rPr>
        <w:t>ti</w:t>
      </w:r>
      <w:r w:rsidR="006D5041" w:rsidRPr="005F6E3A">
        <w:rPr>
          <w:rFonts w:ascii="Arial" w:hAnsi="Arial" w:cs="Arial"/>
          <w:sz w:val="22"/>
          <w:szCs w:val="22"/>
        </w:rPr>
        <w:t xml:space="preserve">ve </w:t>
      </w:r>
      <w:r w:rsidR="00FF506E" w:rsidRPr="005F6E3A">
        <w:rPr>
          <w:rFonts w:ascii="Arial" w:hAnsi="Arial" w:cs="Arial"/>
          <w:sz w:val="22"/>
          <w:szCs w:val="22"/>
        </w:rPr>
        <w:t>initiatives</w:t>
      </w:r>
      <w:r w:rsidR="005F6E3A" w:rsidRPr="005F6E3A">
        <w:rPr>
          <w:rFonts w:ascii="Arial" w:hAnsi="Arial" w:cs="Arial"/>
          <w:sz w:val="22"/>
          <w:szCs w:val="22"/>
        </w:rPr>
        <w:t>—</w:t>
      </w:r>
      <w:r w:rsidR="00090A62" w:rsidRPr="005F6E3A">
        <w:rPr>
          <w:rFonts w:ascii="Arial" w:hAnsi="Arial" w:cs="Arial"/>
          <w:sz w:val="22"/>
          <w:szCs w:val="22"/>
        </w:rPr>
        <w:t xml:space="preserve">like collaboration with WMO and the 2024 </w:t>
      </w:r>
      <w:proofErr w:type="spellStart"/>
      <w:r w:rsidR="00090A62" w:rsidRPr="005F6E3A">
        <w:rPr>
          <w:rFonts w:ascii="Arial" w:hAnsi="Arial" w:cs="Arial"/>
          <w:sz w:val="22"/>
          <w:szCs w:val="22"/>
        </w:rPr>
        <w:t>Vend</w:t>
      </w:r>
      <w:r w:rsidR="005F6E3A" w:rsidRPr="005F6E3A">
        <w:rPr>
          <w:rFonts w:ascii="Arial" w:hAnsi="Arial" w:cs="Arial"/>
          <w:sz w:val="22"/>
          <w:szCs w:val="22"/>
        </w:rPr>
        <w:t>é</w:t>
      </w:r>
      <w:r w:rsidR="00090A62" w:rsidRPr="005F6E3A">
        <w:rPr>
          <w:rFonts w:ascii="Arial" w:hAnsi="Arial" w:cs="Arial"/>
          <w:sz w:val="22"/>
          <w:szCs w:val="22"/>
        </w:rPr>
        <w:t>e</w:t>
      </w:r>
      <w:proofErr w:type="spellEnd"/>
      <w:r w:rsidR="00090A62" w:rsidRPr="005F6E3A">
        <w:rPr>
          <w:rFonts w:ascii="Arial" w:hAnsi="Arial" w:cs="Arial"/>
          <w:sz w:val="22"/>
          <w:szCs w:val="22"/>
        </w:rPr>
        <w:t xml:space="preserve"> Globe</w:t>
      </w:r>
      <w:r w:rsidR="00B37EDA" w:rsidRPr="005F6E3A">
        <w:rPr>
          <w:rFonts w:ascii="Arial" w:hAnsi="Arial" w:cs="Arial"/>
          <w:sz w:val="22"/>
          <w:szCs w:val="22"/>
        </w:rPr>
        <w:t xml:space="preserve"> race, with skippers collecting </w:t>
      </w:r>
      <w:r w:rsidR="00274BB0" w:rsidRPr="005F6E3A">
        <w:rPr>
          <w:rFonts w:ascii="Arial" w:hAnsi="Arial" w:cs="Arial"/>
          <w:sz w:val="22"/>
          <w:szCs w:val="22"/>
        </w:rPr>
        <w:t xml:space="preserve">valuable data from under-sampled regions like the Southern Ocean or </w:t>
      </w:r>
      <w:r w:rsidR="001E7083" w:rsidRPr="005F6E3A">
        <w:rPr>
          <w:rFonts w:ascii="Arial" w:hAnsi="Arial" w:cs="Arial"/>
          <w:sz w:val="22"/>
          <w:szCs w:val="22"/>
        </w:rPr>
        <w:t>the Sea Beyond educational programme funded by the Prada Group</w:t>
      </w:r>
      <w:r w:rsidR="005F6E3A" w:rsidRPr="005F6E3A">
        <w:rPr>
          <w:rFonts w:ascii="Arial" w:hAnsi="Arial" w:cs="Arial"/>
          <w:sz w:val="22"/>
          <w:szCs w:val="22"/>
        </w:rPr>
        <w:t>—</w:t>
      </w:r>
      <w:r w:rsidR="001E7083" w:rsidRPr="005F6E3A">
        <w:rPr>
          <w:rFonts w:ascii="Arial" w:hAnsi="Arial" w:cs="Arial"/>
          <w:sz w:val="22"/>
          <w:szCs w:val="22"/>
        </w:rPr>
        <w:t xml:space="preserve">will </w:t>
      </w:r>
      <w:r w:rsidR="005C02B7" w:rsidRPr="005F6E3A">
        <w:rPr>
          <w:rFonts w:ascii="Arial" w:hAnsi="Arial" w:cs="Arial"/>
          <w:sz w:val="22"/>
          <w:szCs w:val="22"/>
        </w:rPr>
        <w:t>continue</w:t>
      </w:r>
      <w:r w:rsidR="000560F7" w:rsidRPr="005F6E3A">
        <w:rPr>
          <w:rFonts w:ascii="Arial" w:hAnsi="Arial" w:cs="Arial"/>
          <w:sz w:val="22"/>
          <w:szCs w:val="22"/>
        </w:rPr>
        <w:t xml:space="preserve"> to </w:t>
      </w:r>
      <w:r w:rsidR="00F431C9" w:rsidRPr="005F6E3A">
        <w:rPr>
          <w:rFonts w:ascii="Arial" w:hAnsi="Arial" w:cs="Arial"/>
          <w:sz w:val="22"/>
          <w:szCs w:val="22"/>
        </w:rPr>
        <w:t xml:space="preserve">broaden </w:t>
      </w:r>
      <w:r w:rsidR="00FF506E" w:rsidRPr="005F6E3A">
        <w:rPr>
          <w:rFonts w:ascii="Arial" w:hAnsi="Arial" w:cs="Arial"/>
          <w:sz w:val="22"/>
          <w:szCs w:val="22"/>
        </w:rPr>
        <w:t>civil society</w:t>
      </w:r>
      <w:r w:rsidR="003F43F9" w:rsidRPr="005F6E3A">
        <w:rPr>
          <w:rFonts w:ascii="Arial" w:hAnsi="Arial" w:cs="Arial"/>
          <w:sz w:val="22"/>
          <w:szCs w:val="22"/>
        </w:rPr>
        <w:t xml:space="preserve"> engagement.</w:t>
      </w:r>
    </w:p>
    <w:p w14:paraId="15960F07" w14:textId="01ED989B" w:rsidR="008D1EEC" w:rsidRPr="005F6E3A" w:rsidRDefault="00D44B24" w:rsidP="005F6E3A">
      <w:pPr>
        <w:pStyle w:val="ListParagraph"/>
        <w:numPr>
          <w:ilvl w:val="0"/>
          <w:numId w:val="42"/>
        </w:numPr>
        <w:snapToGrid w:val="0"/>
        <w:spacing w:before="240" w:after="240"/>
        <w:ind w:left="0" w:firstLine="0"/>
        <w:contextualSpacing w:val="0"/>
        <w:rPr>
          <w:rFonts w:ascii="Arial" w:hAnsi="Arial" w:cs="Arial"/>
          <w:b/>
          <w:bCs/>
          <w:sz w:val="22"/>
          <w:szCs w:val="22"/>
        </w:rPr>
      </w:pPr>
      <w:r w:rsidRPr="005F6E3A">
        <w:rPr>
          <w:rFonts w:ascii="Arial" w:hAnsi="Arial" w:cs="Arial"/>
          <w:b/>
          <w:bCs/>
          <w:sz w:val="22"/>
          <w:szCs w:val="22"/>
        </w:rPr>
        <w:t>Enhancing Member State ownership:</w:t>
      </w:r>
      <w:r w:rsidR="00CD4AED" w:rsidRPr="005F6E3A">
        <w:rPr>
          <w:rFonts w:ascii="Arial" w:hAnsi="Arial" w:cs="Arial"/>
          <w:b/>
          <w:bCs/>
          <w:sz w:val="22"/>
          <w:szCs w:val="22"/>
        </w:rPr>
        <w:t xml:space="preserve"> </w:t>
      </w:r>
      <w:r w:rsidR="00CD4AED" w:rsidRPr="005F6E3A">
        <w:rPr>
          <w:rFonts w:ascii="Arial" w:hAnsi="Arial" w:cs="Arial"/>
          <w:sz w:val="22"/>
          <w:szCs w:val="22"/>
        </w:rPr>
        <w:t>With the key objective</w:t>
      </w:r>
      <w:r w:rsidR="00CD4AED" w:rsidRPr="005F6E3A">
        <w:rPr>
          <w:rFonts w:ascii="Arial" w:hAnsi="Arial" w:cs="Arial"/>
          <w:i/>
          <w:iCs/>
          <w:sz w:val="22"/>
          <w:szCs w:val="22"/>
        </w:rPr>
        <w:t xml:space="preserve"> </w:t>
      </w:r>
      <w:r w:rsidR="00CD4AED" w:rsidRPr="005F6E3A">
        <w:rPr>
          <w:rFonts w:ascii="Arial" w:hAnsi="Arial" w:cs="Arial"/>
          <w:sz w:val="22"/>
          <w:szCs w:val="22"/>
        </w:rPr>
        <w:t xml:space="preserve">of achieving a better, faster, more dynamic interaction between ocean knowledge, decision-making and management, </w:t>
      </w:r>
      <w:r w:rsidR="00F56CDF" w:rsidRPr="005F6E3A">
        <w:rPr>
          <w:rFonts w:ascii="Arial" w:hAnsi="Arial" w:cs="Arial"/>
          <w:sz w:val="22"/>
          <w:szCs w:val="22"/>
        </w:rPr>
        <w:t xml:space="preserve">it is also necessary </w:t>
      </w:r>
      <w:r w:rsidR="00CD4AED" w:rsidRPr="005F6E3A">
        <w:rPr>
          <w:rFonts w:ascii="Arial" w:hAnsi="Arial" w:cs="Arial"/>
          <w:sz w:val="22"/>
          <w:szCs w:val="22"/>
        </w:rPr>
        <w:t xml:space="preserve">to </w:t>
      </w:r>
      <w:r w:rsidR="00F56CDF" w:rsidRPr="005F6E3A">
        <w:rPr>
          <w:rFonts w:ascii="Arial" w:hAnsi="Arial" w:cs="Arial"/>
          <w:sz w:val="22"/>
          <w:szCs w:val="22"/>
        </w:rPr>
        <w:t xml:space="preserve">continue exploring </w:t>
      </w:r>
      <w:r w:rsidR="00CD4AED" w:rsidRPr="005F6E3A">
        <w:rPr>
          <w:rFonts w:ascii="Arial" w:hAnsi="Arial" w:cs="Arial"/>
          <w:sz w:val="22"/>
          <w:szCs w:val="22"/>
        </w:rPr>
        <w:t xml:space="preserve">whether </w:t>
      </w:r>
      <w:r w:rsidR="00CD4AED" w:rsidRPr="005F6E3A">
        <w:rPr>
          <w:rFonts w:ascii="Arial" w:hAnsi="Arial" w:cs="Arial"/>
          <w:i/>
          <w:iCs/>
          <w:sz w:val="22"/>
          <w:szCs w:val="22"/>
        </w:rPr>
        <w:t>the way we work</w:t>
      </w:r>
      <w:r w:rsidR="00CD4AED" w:rsidRPr="005F6E3A">
        <w:rPr>
          <w:rFonts w:ascii="Arial" w:hAnsi="Arial" w:cs="Arial"/>
          <w:sz w:val="22"/>
          <w:szCs w:val="22"/>
        </w:rPr>
        <w:t xml:space="preserve"> can also get better, faster and more dynamic. </w:t>
      </w:r>
      <w:r w:rsidR="008D548F" w:rsidRPr="005F6E3A">
        <w:rPr>
          <w:rFonts w:ascii="Arial" w:hAnsi="Arial" w:cs="Arial"/>
          <w:sz w:val="22"/>
          <w:szCs w:val="22"/>
        </w:rPr>
        <w:t xml:space="preserve">The ‘IOC and Future of the Ocean’ consultation process launched by the IOC Assembly and </w:t>
      </w:r>
      <w:r w:rsidR="00CD4AED" w:rsidRPr="005F6E3A">
        <w:rPr>
          <w:rFonts w:ascii="Arial" w:hAnsi="Arial" w:cs="Arial"/>
          <w:sz w:val="22"/>
          <w:szCs w:val="22"/>
        </w:rPr>
        <w:t xml:space="preserve">calling for “streamlining of operations and optimising the use of resources </w:t>
      </w:r>
      <w:proofErr w:type="gramStart"/>
      <w:r w:rsidR="00CD4AED" w:rsidRPr="005F6E3A">
        <w:rPr>
          <w:rFonts w:ascii="Arial" w:hAnsi="Arial" w:cs="Arial"/>
          <w:sz w:val="22"/>
          <w:szCs w:val="22"/>
        </w:rPr>
        <w:t>so as to</w:t>
      </w:r>
      <w:proofErr w:type="gramEnd"/>
      <w:r w:rsidR="00CD4AED" w:rsidRPr="005F6E3A">
        <w:rPr>
          <w:rFonts w:ascii="Arial" w:hAnsi="Arial" w:cs="Arial"/>
          <w:sz w:val="22"/>
          <w:szCs w:val="22"/>
        </w:rPr>
        <w:t xml:space="preserve"> be truly fit-for-purpose in response to the fast-evolving ocean agenda and increasing demands of Member States and multilateral processes</w:t>
      </w:r>
      <w:r w:rsidR="002A0AE0" w:rsidRPr="005F6E3A">
        <w:rPr>
          <w:rFonts w:ascii="Arial" w:hAnsi="Arial" w:cs="Arial"/>
          <w:sz w:val="22"/>
          <w:szCs w:val="22"/>
        </w:rPr>
        <w:t xml:space="preserve">’ will empower Member States to provide strategic guidance and ownership </w:t>
      </w:r>
      <w:r w:rsidR="003623CC" w:rsidRPr="005F6E3A">
        <w:rPr>
          <w:rFonts w:ascii="Arial" w:hAnsi="Arial" w:cs="Arial"/>
          <w:sz w:val="22"/>
          <w:szCs w:val="22"/>
        </w:rPr>
        <w:t>of their Commission.</w:t>
      </w:r>
    </w:p>
    <w:sectPr w:rsidR="008D1EEC" w:rsidRPr="005F6E3A" w:rsidSect="003F7186">
      <w:headerReference w:type="even" r:id="rId21"/>
      <w:headerReference w:type="default" r:id="rId22"/>
      <w:headerReference w:type="first" r:id="rId2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F827" w14:textId="77777777" w:rsidR="003A1612" w:rsidRDefault="003A1612">
      <w:r>
        <w:separator/>
      </w:r>
    </w:p>
  </w:endnote>
  <w:endnote w:type="continuationSeparator" w:id="0">
    <w:p w14:paraId="6BEB3081" w14:textId="77777777" w:rsidR="003A1612" w:rsidRDefault="003A1612">
      <w:r>
        <w:continuationSeparator/>
      </w:r>
    </w:p>
  </w:endnote>
  <w:endnote w:type="continuationNotice" w:id="1">
    <w:p w14:paraId="703A3248" w14:textId="77777777" w:rsidR="003A1612" w:rsidRDefault="003A1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3AFC1" w14:textId="77777777" w:rsidR="003A1612" w:rsidRDefault="003A1612">
      <w:r>
        <w:separator/>
      </w:r>
    </w:p>
  </w:footnote>
  <w:footnote w:type="continuationSeparator" w:id="0">
    <w:p w14:paraId="38316D0D" w14:textId="77777777" w:rsidR="003A1612" w:rsidRDefault="003A1612">
      <w:r>
        <w:continuationSeparator/>
      </w:r>
    </w:p>
  </w:footnote>
  <w:footnote w:type="continuationNotice" w:id="1">
    <w:p w14:paraId="0D913F56" w14:textId="77777777" w:rsidR="003A1612" w:rsidRDefault="003A1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19C4" w14:textId="77777777" w:rsidR="00441140" w:rsidRPr="00C962F0" w:rsidRDefault="00441140">
    <w:pPr>
      <w:pStyle w:val="Header"/>
      <w:rPr>
        <w:szCs w:val="22"/>
      </w:rPr>
    </w:pPr>
    <w:r w:rsidRPr="00C962F0">
      <w:rPr>
        <w:szCs w:val="22"/>
      </w:rPr>
      <w:t>ICG/CARIBE-EWS II/WD </w:t>
    </w:r>
    <w:r w:rsidRPr="00C962F0">
      <w:rPr>
        <w:szCs w:val="22"/>
        <w:highlight w:val="cyan"/>
      </w:rPr>
      <w:t>__</w:t>
    </w:r>
  </w:p>
  <w:p w14:paraId="6A24548F" w14:textId="77777777" w:rsidR="00441140" w:rsidRPr="00C962F0" w:rsidRDefault="00441140">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D62A" w14:textId="77777777" w:rsidR="00441140" w:rsidRPr="00746B89" w:rsidRDefault="00441140" w:rsidP="00DF2FB9">
    <w:pPr>
      <w:pStyle w:val="Header"/>
      <w:tabs>
        <w:tab w:val="clear" w:pos="8306"/>
      </w:tabs>
      <w:rPr>
        <w:szCs w:val="22"/>
      </w:rPr>
    </w:pPr>
    <w:r w:rsidRPr="00746B89">
      <w:rPr>
        <w:szCs w:val="22"/>
      </w:rPr>
      <w:t xml:space="preserve">IOC-XXIV/2 Annex </w:t>
    </w:r>
    <w:r w:rsidRPr="00746B89">
      <w:rPr>
        <w:szCs w:val="22"/>
        <w:highlight w:val="yellow"/>
      </w:rPr>
      <w:t>__</w:t>
    </w:r>
  </w:p>
  <w:p w14:paraId="70AB0676" w14:textId="77777777" w:rsidR="00441140" w:rsidRPr="00746B89" w:rsidRDefault="00441140"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6C23CAB6" w14:textId="77777777" w:rsidR="00441140" w:rsidRPr="00DF2FB9" w:rsidRDefault="0044114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D51F" w14:textId="3B3C7EF2" w:rsidR="00C12E5A" w:rsidRPr="007C710A" w:rsidRDefault="00AD7234" w:rsidP="00AA2CD5">
    <w:pPr>
      <w:pStyle w:val="Marge"/>
      <w:tabs>
        <w:tab w:val="left" w:pos="6096"/>
        <w:tab w:val="left" w:pos="7560"/>
      </w:tabs>
      <w:spacing w:after="0"/>
      <w:rPr>
        <w:rFonts w:cs="Arial"/>
        <w:b/>
        <w:szCs w:val="22"/>
      </w:rPr>
    </w:pPr>
    <w:r>
      <w:rPr>
        <w:rFonts w:cs="Arial"/>
        <w:szCs w:val="22"/>
      </w:rPr>
      <w:t>4</w:t>
    </w:r>
    <w:r w:rsidR="00C12E5A" w:rsidRPr="007C710A">
      <w:rPr>
        <w:rFonts w:cs="Arial"/>
        <w:szCs w:val="22"/>
      </w:rPr>
      <w:t>Restricted Distribution</w:t>
    </w:r>
    <w:r w:rsidR="00C12E5A" w:rsidRPr="007C710A">
      <w:rPr>
        <w:rFonts w:cs="Arial"/>
        <w:szCs w:val="22"/>
      </w:rPr>
      <w:tab/>
    </w:r>
    <w:r w:rsidR="00C12E5A" w:rsidRPr="00655F5E">
      <w:rPr>
        <w:rFonts w:cs="Arial"/>
        <w:b/>
        <w:sz w:val="36"/>
        <w:szCs w:val="36"/>
      </w:rPr>
      <w:t>IOC</w:t>
    </w:r>
    <w:r w:rsidR="00C12E5A">
      <w:rPr>
        <w:rFonts w:cs="Arial"/>
        <w:b/>
        <w:sz w:val="36"/>
        <w:szCs w:val="36"/>
      </w:rPr>
      <w:t>/A</w:t>
    </w:r>
    <w:r w:rsidR="00C12E5A" w:rsidRPr="00655F5E">
      <w:rPr>
        <w:rFonts w:cs="Arial"/>
        <w:b/>
        <w:sz w:val="36"/>
        <w:szCs w:val="36"/>
      </w:rPr>
      <w:t>-3</w:t>
    </w:r>
    <w:r w:rsidR="00DE4579">
      <w:rPr>
        <w:rFonts w:cs="Arial"/>
        <w:b/>
        <w:sz w:val="36"/>
        <w:szCs w:val="36"/>
      </w:rPr>
      <w:t>3</w:t>
    </w:r>
    <w:r w:rsidR="00C12E5A" w:rsidRPr="00655F5E">
      <w:rPr>
        <w:rFonts w:cs="Arial"/>
        <w:b/>
        <w:sz w:val="36"/>
        <w:szCs w:val="36"/>
      </w:rPr>
      <w:t>/</w:t>
    </w:r>
    <w:r w:rsidR="00C12E5A">
      <w:rPr>
        <w:rFonts w:cs="Arial"/>
        <w:b/>
        <w:sz w:val="36"/>
        <w:szCs w:val="36"/>
      </w:rPr>
      <w:t>3.</w:t>
    </w:r>
    <w:proofErr w:type="gramStart"/>
    <w:r w:rsidR="00C12E5A">
      <w:rPr>
        <w:rFonts w:cs="Arial"/>
        <w:b/>
        <w:sz w:val="36"/>
        <w:szCs w:val="36"/>
      </w:rPr>
      <w:t>5</w:t>
    </w:r>
    <w:r w:rsidR="00C12E5A" w:rsidRPr="00655F5E">
      <w:rPr>
        <w:rFonts w:cs="Arial"/>
        <w:b/>
        <w:sz w:val="36"/>
        <w:szCs w:val="36"/>
      </w:rPr>
      <w:t>.Doc</w:t>
    </w:r>
    <w:proofErr w:type="gramEnd"/>
    <w:r w:rsidR="00C12E5A" w:rsidRPr="00655F5E">
      <w:rPr>
        <w:rFonts w:cs="Arial"/>
        <w:b/>
        <w:sz w:val="36"/>
        <w:szCs w:val="36"/>
      </w:rPr>
      <w:t>(</w:t>
    </w:r>
    <w:r w:rsidR="00C12E5A">
      <w:rPr>
        <w:rFonts w:cs="Arial"/>
        <w:b/>
        <w:sz w:val="36"/>
        <w:szCs w:val="36"/>
      </w:rPr>
      <w:t>1</w:t>
    </w:r>
    <w:r w:rsidR="00C12E5A" w:rsidRPr="00655F5E">
      <w:rPr>
        <w:rFonts w:cs="Arial"/>
        <w:b/>
        <w:sz w:val="36"/>
        <w:szCs w:val="36"/>
      </w:rPr>
      <w:t>)</w:t>
    </w:r>
  </w:p>
  <w:p w14:paraId="403ABF5B" w14:textId="74F96797" w:rsidR="00C12E5A" w:rsidRPr="002D5222" w:rsidRDefault="00C12E5A" w:rsidP="00AA2CD5">
    <w:pPr>
      <w:tabs>
        <w:tab w:val="left" w:pos="6096"/>
        <w:tab w:val="left" w:pos="7560"/>
      </w:tabs>
      <w:jc w:val="both"/>
      <w:rPr>
        <w:rFonts w:asciiTheme="minorBidi" w:hAnsiTheme="minorBidi"/>
      </w:rPr>
    </w:pPr>
    <w:r>
      <w:rPr>
        <w:noProof/>
      </w:rPr>
      <w:drawing>
        <wp:anchor distT="0" distB="0" distL="114300" distR="114300" simplePos="0" relativeHeight="251678720" behindDoc="0" locked="0" layoutInCell="1" allowOverlap="1" wp14:anchorId="68D4C686" wp14:editId="00519DD6">
          <wp:simplePos x="0" y="0"/>
          <wp:positionH relativeFrom="column">
            <wp:posOffset>-96875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rFonts w:cs="Arial"/>
        <w:b/>
      </w:rPr>
      <w:tab/>
    </w:r>
    <w:r w:rsidRPr="002D5222">
      <w:rPr>
        <w:rFonts w:asciiTheme="minorBidi" w:hAnsiTheme="minorBidi"/>
      </w:rPr>
      <w:t xml:space="preserve">Paris, </w:t>
    </w:r>
    <w:r w:rsidR="00DE4579">
      <w:rPr>
        <w:rFonts w:asciiTheme="minorBidi" w:hAnsiTheme="minorBidi"/>
      </w:rPr>
      <w:t>1</w:t>
    </w:r>
    <w:r w:rsidR="00AD7234">
      <w:rPr>
        <w:rFonts w:asciiTheme="minorBidi" w:hAnsiTheme="minorBidi"/>
      </w:rPr>
      <w:t>4</w:t>
    </w:r>
    <w:r w:rsidR="00DE4579">
      <w:rPr>
        <w:rFonts w:asciiTheme="minorBidi" w:hAnsiTheme="minorBidi"/>
      </w:rPr>
      <w:t xml:space="preserve"> April</w:t>
    </w:r>
    <w:r w:rsidRPr="002D5222">
      <w:rPr>
        <w:rFonts w:asciiTheme="minorBidi" w:hAnsiTheme="minorBidi"/>
      </w:rPr>
      <w:t xml:space="preserve"> 202</w:t>
    </w:r>
    <w:r w:rsidR="00DE4579">
      <w:rPr>
        <w:rFonts w:asciiTheme="minorBidi" w:hAnsiTheme="minorBidi"/>
      </w:rPr>
      <w:t>5</w:t>
    </w:r>
  </w:p>
  <w:p w14:paraId="28CBEFA2" w14:textId="77777777" w:rsidR="00C12E5A" w:rsidRPr="002D5222" w:rsidRDefault="00C12E5A" w:rsidP="00AA2CD5">
    <w:pPr>
      <w:tabs>
        <w:tab w:val="left" w:pos="6096"/>
        <w:tab w:val="left" w:pos="7560"/>
      </w:tabs>
      <w:jc w:val="both"/>
      <w:rPr>
        <w:rFonts w:asciiTheme="minorBidi" w:hAnsiTheme="minorBidi"/>
      </w:rPr>
    </w:pPr>
    <w:r w:rsidRPr="002D5222">
      <w:rPr>
        <w:rFonts w:asciiTheme="minorBidi" w:hAnsiTheme="minorBidi"/>
        <w:b/>
      </w:rPr>
      <w:tab/>
    </w:r>
    <w:r w:rsidRPr="002D5222">
      <w:rPr>
        <w:rFonts w:asciiTheme="minorBidi" w:hAnsiTheme="minorBidi"/>
      </w:rPr>
      <w:t>Original: English</w:t>
    </w:r>
  </w:p>
  <w:p w14:paraId="32B4F112" w14:textId="77777777" w:rsidR="00C12E5A" w:rsidRPr="002D5222" w:rsidRDefault="00C12E5A" w:rsidP="00AA2CD5">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6096"/>
        <w:tab w:val="left" w:pos="7020"/>
        <w:tab w:val="left" w:pos="7088"/>
      </w:tabs>
      <w:jc w:val="both"/>
      <w:rPr>
        <w:rFonts w:asciiTheme="minorBidi" w:hAnsiTheme="minorBidi"/>
        <w:b/>
      </w:rPr>
    </w:pPr>
  </w:p>
  <w:p w14:paraId="6291037F"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704015AC" w14:textId="77777777" w:rsidR="00C12E5A"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32EBCD58" w14:textId="77777777" w:rsidR="00C12E5A"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FB8D5E3" w14:textId="77777777" w:rsidR="00C12E5A"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0B06903"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658C4EF5"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52BE075C"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rPr>
    </w:pPr>
    <w:r w:rsidRPr="002D5222">
      <w:rPr>
        <w:rFonts w:asciiTheme="minorBidi" w:hAnsiTheme="minorBidi"/>
        <w:b/>
      </w:rPr>
      <w:t>INTERGOVERNMENTAL OCEANOGRAPHIC COMMISSION</w:t>
    </w:r>
  </w:p>
  <w:p w14:paraId="5F2D4603"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Cs/>
      </w:rPr>
    </w:pPr>
    <w:r w:rsidRPr="002D5222">
      <w:rPr>
        <w:rFonts w:asciiTheme="minorBidi" w:hAnsiTheme="minorBidi"/>
        <w:bCs/>
      </w:rPr>
      <w:t>(of UNESCO)</w:t>
    </w:r>
  </w:p>
  <w:p w14:paraId="66E3C903" w14:textId="77777777" w:rsidR="00C12E5A" w:rsidRPr="002D5222" w:rsidRDefault="00C12E5A" w:rsidP="00C12E5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p>
  <w:p w14:paraId="4BA375D2" w14:textId="3BCA84F4" w:rsidR="00C12E5A" w:rsidRPr="002D5222" w:rsidRDefault="00C12E5A" w:rsidP="00C12E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r w:rsidRPr="002D5222">
      <w:rPr>
        <w:rFonts w:asciiTheme="minorBidi" w:hAnsiTheme="minorBidi"/>
        <w:b/>
      </w:rPr>
      <w:t>Thirty-</w:t>
    </w:r>
    <w:r w:rsidR="00DE4579">
      <w:rPr>
        <w:rFonts w:asciiTheme="minorBidi" w:hAnsiTheme="minorBidi"/>
        <w:b/>
      </w:rPr>
      <w:t>third</w:t>
    </w:r>
    <w:r w:rsidRPr="002D5222">
      <w:rPr>
        <w:rFonts w:asciiTheme="minorBidi" w:hAnsiTheme="minorBidi"/>
        <w:b/>
      </w:rPr>
      <w:t xml:space="preserve"> Session of the Assembly</w:t>
    </w:r>
  </w:p>
  <w:p w14:paraId="58EBCB2F" w14:textId="6C693720" w:rsidR="00C12E5A" w:rsidRPr="002D5222" w:rsidRDefault="00C12E5A" w:rsidP="00C12E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rPr>
    </w:pPr>
    <w:r w:rsidRPr="002D5222">
      <w:rPr>
        <w:rFonts w:asciiTheme="minorBidi" w:hAnsiTheme="minorBidi"/>
      </w:rPr>
      <w:t>UNESCO, 2</w:t>
    </w:r>
    <w:r w:rsidR="00DE4579">
      <w:rPr>
        <w:rFonts w:asciiTheme="minorBidi" w:hAnsiTheme="minorBidi"/>
      </w:rPr>
      <w:t xml:space="preserve">5 June </w:t>
    </w:r>
    <w:r w:rsidRPr="002D5222">
      <w:rPr>
        <w:rFonts w:asciiTheme="minorBidi" w:hAnsiTheme="minorBidi"/>
      </w:rPr>
      <w:t>–</w:t>
    </w:r>
    <w:r w:rsidR="00DE4579">
      <w:rPr>
        <w:rFonts w:asciiTheme="minorBidi" w:hAnsiTheme="minorBidi"/>
      </w:rPr>
      <w:t xml:space="preserve"> </w:t>
    </w:r>
    <w:r w:rsidRPr="002D5222">
      <w:rPr>
        <w:rFonts w:asciiTheme="minorBidi" w:hAnsiTheme="minorBidi"/>
      </w:rPr>
      <w:t>3 Ju</w:t>
    </w:r>
    <w:r w:rsidR="00DE4579">
      <w:rPr>
        <w:rFonts w:asciiTheme="minorBidi" w:hAnsiTheme="minorBidi"/>
      </w:rPr>
      <w:t xml:space="preserve">ly </w:t>
    </w:r>
    <w:r w:rsidRPr="002D5222">
      <w:rPr>
        <w:rFonts w:asciiTheme="minorBidi" w:hAnsiTheme="minorBidi"/>
      </w:rPr>
      <w:t>202</w:t>
    </w:r>
    <w:r w:rsidR="00DE4579">
      <w:rPr>
        <w:rFonts w:asciiTheme="minorBidi" w:hAnsiTheme="minorBidi"/>
      </w:rPr>
      <w:t>5</w:t>
    </w:r>
  </w:p>
  <w:p w14:paraId="68DEB85E" w14:textId="77777777" w:rsidR="00C12E5A"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rPr>
    </w:pPr>
  </w:p>
  <w:p w14:paraId="4B804AF5" w14:textId="77777777" w:rsidR="00C12E5A"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rPr>
    </w:pPr>
  </w:p>
  <w:p w14:paraId="56DFEACC" w14:textId="77777777" w:rsidR="00C12E5A" w:rsidRPr="002D5222"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rPr>
    </w:pPr>
  </w:p>
  <w:p w14:paraId="4353D660" w14:textId="77777777" w:rsidR="00C12E5A" w:rsidRPr="002D5222" w:rsidRDefault="00C12E5A" w:rsidP="00C12E5A">
    <w:pPr>
      <w:jc w:val="center"/>
      <w:rPr>
        <w:rFonts w:asciiTheme="minorBidi" w:hAnsiTheme="minorBidi"/>
      </w:rPr>
    </w:pPr>
  </w:p>
  <w:p w14:paraId="0253EDC1" w14:textId="77777777" w:rsidR="00C12E5A" w:rsidRPr="002D5222" w:rsidRDefault="00C12E5A" w:rsidP="00C12E5A">
    <w:pPr>
      <w:jc w:val="center"/>
      <w:rPr>
        <w:rFonts w:asciiTheme="minorBidi" w:hAnsiTheme="minorBidi"/>
      </w:rPr>
    </w:pPr>
  </w:p>
  <w:p w14:paraId="53E488E5" w14:textId="77777777" w:rsidR="000156E0" w:rsidRPr="005E544C" w:rsidRDefault="000156E0" w:rsidP="000156E0">
    <w:pPr>
      <w:jc w:val="center"/>
      <w:rPr>
        <w:rFonts w:cs="Arial"/>
        <w:szCs w:val="22"/>
      </w:rPr>
    </w:pPr>
  </w:p>
  <w:p w14:paraId="0164A3F9" w14:textId="12F16B21" w:rsidR="000156E0" w:rsidRPr="00AA2CD5" w:rsidRDefault="000156E0" w:rsidP="00AD7234">
    <w:pPr>
      <w:pStyle w:val="Heading7"/>
      <w:tabs>
        <w:tab w:val="left" w:pos="5920"/>
      </w:tabs>
      <w:spacing w:line="240" w:lineRule="auto"/>
      <w:rPr>
        <w:rFonts w:cs="Arial"/>
        <w:sz w:val="24"/>
      </w:rPr>
    </w:pPr>
    <w:r w:rsidRPr="00AA2CD5">
      <w:rPr>
        <w:rFonts w:cs="Arial"/>
        <w:sz w:val="24"/>
      </w:rPr>
      <w:t xml:space="preserve">Item </w:t>
    </w:r>
    <w:r w:rsidRPr="00AA2CD5">
      <w:rPr>
        <w:rFonts w:cs="Arial"/>
        <w:b/>
        <w:sz w:val="24"/>
      </w:rPr>
      <w:t>3.</w:t>
    </w:r>
    <w:r w:rsidR="00FB6A51" w:rsidRPr="00AA2CD5">
      <w:rPr>
        <w:rFonts w:cs="Arial"/>
        <w:b/>
        <w:sz w:val="24"/>
      </w:rPr>
      <w:t>5</w:t>
    </w:r>
    <w:r w:rsidRPr="00AA2CD5">
      <w:rPr>
        <w:rFonts w:cs="Arial"/>
        <w:sz w:val="24"/>
      </w:rPr>
      <w:t xml:space="preserve"> of the</w:t>
    </w:r>
    <w:r w:rsidR="00C05769" w:rsidRPr="00AA2CD5">
      <w:rPr>
        <w:rFonts w:cs="Arial"/>
        <w:sz w:val="24"/>
      </w:rPr>
      <w:t xml:space="preserve"> </w:t>
    </w:r>
    <w:r w:rsidRPr="00AA2CD5">
      <w:rPr>
        <w:rFonts w:cs="Arial"/>
        <w:sz w:val="24"/>
      </w:rPr>
      <w:t>Provisional Agenda</w:t>
    </w:r>
  </w:p>
  <w:p w14:paraId="0CF3255B" w14:textId="77777777" w:rsidR="000156E0" w:rsidRPr="005E544C" w:rsidRDefault="000156E0" w:rsidP="000156E0">
    <w:pPr>
      <w:rPr>
        <w:rFonts w:cs="Arial"/>
        <w:szCs w:val="22"/>
      </w:rPr>
    </w:pPr>
  </w:p>
  <w:p w14:paraId="1E581F27" w14:textId="77777777" w:rsidR="00441140" w:rsidRPr="005E544C" w:rsidRDefault="00441140" w:rsidP="00DF2FB9">
    <w:pPr>
      <w:rPr>
        <w:rFonts w:cs="Arial"/>
        <w:szCs w:val="22"/>
      </w:rPr>
    </w:pPr>
  </w:p>
  <w:p w14:paraId="35AFDEFB" w14:textId="1A3105D6" w:rsidR="00441140" w:rsidRPr="001370E4" w:rsidRDefault="00515584" w:rsidP="00515584">
    <w:pPr>
      <w:pStyle w:val="Docheading"/>
      <w:spacing w:after="0"/>
      <w:rPr>
        <w:color w:val="000000"/>
        <w:sz w:val="22"/>
        <w:szCs w:val="22"/>
      </w:rPr>
    </w:pPr>
    <w:r w:rsidRPr="00515584">
      <w:rPr>
        <w:color w:val="000000"/>
        <w:sz w:val="22"/>
        <w:szCs w:val="22"/>
      </w:rPr>
      <w:t>Report of the IOC activities (20</w:t>
    </w:r>
    <w:r w:rsidR="000B276A">
      <w:rPr>
        <w:color w:val="000000"/>
        <w:sz w:val="22"/>
        <w:szCs w:val="22"/>
      </w:rPr>
      <w:t>2</w:t>
    </w:r>
    <w:r w:rsidR="00DE4579">
      <w:rPr>
        <w:color w:val="000000"/>
        <w:sz w:val="22"/>
        <w:szCs w:val="22"/>
      </w:rPr>
      <w:t>4</w:t>
    </w:r>
    <w:r w:rsidRPr="00515584">
      <w:rPr>
        <w:color w:val="000000"/>
        <w:sz w:val="22"/>
        <w:szCs w:val="22"/>
      </w:rPr>
      <w:t>–20</w:t>
    </w:r>
    <w:r w:rsidR="000B276A">
      <w:rPr>
        <w:color w:val="000000"/>
        <w:sz w:val="22"/>
        <w:szCs w:val="22"/>
      </w:rPr>
      <w:t>2</w:t>
    </w:r>
    <w:r w:rsidR="00DE4579">
      <w:rPr>
        <w:color w:val="000000"/>
        <w:sz w:val="22"/>
        <w:szCs w:val="22"/>
      </w:rPr>
      <w:t>5</w:t>
    </w:r>
    <w:r w:rsidRPr="00515584">
      <w:rPr>
        <w:color w:val="000000"/>
        <w:sz w:val="22"/>
        <w:szCs w:val="22"/>
      </w:rPr>
      <w:t xml:space="preserve">) </w:t>
    </w:r>
    <w:r w:rsidRPr="00515584">
      <w:rPr>
        <w:color w:val="000000"/>
        <w:sz w:val="22"/>
        <w:szCs w:val="22"/>
      </w:rPr>
      <w:br/>
      <w:t>to the Fort</w:t>
    </w:r>
    <w:r w:rsidR="000B276A">
      <w:rPr>
        <w:color w:val="000000"/>
        <w:sz w:val="22"/>
        <w:szCs w:val="22"/>
      </w:rPr>
      <w:t>y-</w:t>
    </w:r>
    <w:r w:rsidR="00DE4579">
      <w:rPr>
        <w:color w:val="000000"/>
        <w:sz w:val="22"/>
        <w:szCs w:val="22"/>
      </w:rPr>
      <w:t>third</w:t>
    </w:r>
    <w:r w:rsidR="006B51BA" w:rsidRPr="00515584">
      <w:rPr>
        <w:color w:val="000000"/>
        <w:sz w:val="22"/>
        <w:szCs w:val="22"/>
      </w:rPr>
      <w:t xml:space="preserve"> </w:t>
    </w:r>
    <w:r w:rsidRPr="00515584">
      <w:rPr>
        <w:color w:val="000000"/>
        <w:sz w:val="22"/>
        <w:szCs w:val="22"/>
      </w:rPr>
      <w:t>General Conference of UNESCO</w:t>
    </w:r>
  </w:p>
  <w:p w14:paraId="370A056C" w14:textId="77777777" w:rsidR="00441140" w:rsidRPr="00515584" w:rsidRDefault="00441140" w:rsidP="00DF2FB9">
    <w:pPr>
      <w:pStyle w:val="Header"/>
      <w:rPr>
        <w:rFonts w:cs="Arial"/>
        <w:b/>
        <w:szCs w:val="22"/>
      </w:rPr>
    </w:pPr>
  </w:p>
  <w:p w14:paraId="167EC998" w14:textId="77777777" w:rsidR="00441140" w:rsidRPr="005E544C" w:rsidRDefault="00441140">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695D" w14:textId="48E715B9" w:rsidR="00441140" w:rsidRPr="006842FA" w:rsidRDefault="00242324" w:rsidP="00C12E5A">
    <w:pPr>
      <w:pStyle w:val="Header"/>
      <w:tabs>
        <w:tab w:val="clear" w:pos="8306"/>
      </w:tabs>
      <w:rPr>
        <w:rFonts w:cs="Arial"/>
        <w:sz w:val="20"/>
        <w:szCs w:val="20"/>
      </w:rPr>
    </w:pPr>
    <w:r w:rsidRPr="00242324">
      <w:rPr>
        <w:rFonts w:cs="Arial"/>
        <w:sz w:val="20"/>
        <w:szCs w:val="20"/>
      </w:rPr>
      <w:t>IOC/A-3</w:t>
    </w:r>
    <w:r w:rsidR="003631A7">
      <w:rPr>
        <w:rFonts w:cs="Arial"/>
        <w:sz w:val="20"/>
        <w:szCs w:val="20"/>
      </w:rPr>
      <w:t>3</w:t>
    </w:r>
    <w:r w:rsidRPr="00242324">
      <w:rPr>
        <w:rFonts w:cs="Arial"/>
        <w:sz w:val="20"/>
        <w:szCs w:val="20"/>
      </w:rPr>
      <w:t>/3.</w:t>
    </w:r>
    <w:proofErr w:type="gramStart"/>
    <w:r w:rsidR="003631A7">
      <w:rPr>
        <w:rFonts w:cs="Arial"/>
        <w:sz w:val="20"/>
        <w:szCs w:val="20"/>
      </w:rPr>
      <w:t>5</w:t>
    </w:r>
    <w:r w:rsidRPr="00242324">
      <w:rPr>
        <w:rFonts w:cs="Arial"/>
        <w:sz w:val="20"/>
        <w:szCs w:val="20"/>
      </w:rPr>
      <w:t>.Doc</w:t>
    </w:r>
    <w:proofErr w:type="gramEnd"/>
    <w:r w:rsidR="00C12E5A">
      <w:rPr>
        <w:rFonts w:cs="Arial"/>
        <w:sz w:val="20"/>
        <w:szCs w:val="20"/>
      </w:rPr>
      <w:t xml:space="preserve">(1) – </w:t>
    </w:r>
    <w:r w:rsidR="00441140">
      <w:rPr>
        <w:rFonts w:cs="Arial"/>
        <w:sz w:val="20"/>
        <w:szCs w:val="20"/>
      </w:rPr>
      <w:t>p</w:t>
    </w:r>
    <w:r w:rsidR="00441140" w:rsidRPr="006842FA">
      <w:rPr>
        <w:rFonts w:cs="Arial"/>
        <w:sz w:val="20"/>
        <w:szCs w:val="20"/>
      </w:rPr>
      <w:t>age </w:t>
    </w:r>
    <w:r w:rsidR="00441140" w:rsidRPr="006842FA">
      <w:rPr>
        <w:rStyle w:val="PageNumber"/>
        <w:rFonts w:cs="Arial"/>
        <w:sz w:val="20"/>
        <w:szCs w:val="20"/>
      </w:rPr>
      <w:fldChar w:fldCharType="begin"/>
    </w:r>
    <w:r w:rsidR="00441140" w:rsidRPr="006842FA">
      <w:rPr>
        <w:rStyle w:val="PageNumber"/>
        <w:rFonts w:cs="Arial"/>
        <w:sz w:val="20"/>
        <w:szCs w:val="20"/>
      </w:rPr>
      <w:instrText xml:space="preserve"> PAGE </w:instrText>
    </w:r>
    <w:r w:rsidR="00441140" w:rsidRPr="006842FA">
      <w:rPr>
        <w:rStyle w:val="PageNumber"/>
        <w:rFonts w:cs="Arial"/>
        <w:sz w:val="20"/>
        <w:szCs w:val="20"/>
      </w:rPr>
      <w:fldChar w:fldCharType="separate"/>
    </w:r>
    <w:r w:rsidR="00D0416A">
      <w:rPr>
        <w:rStyle w:val="PageNumber"/>
        <w:rFonts w:cs="Arial"/>
        <w:noProof/>
        <w:sz w:val="20"/>
        <w:szCs w:val="20"/>
      </w:rPr>
      <w:t>4</w:t>
    </w:r>
    <w:r w:rsidR="00441140"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F2C3" w14:textId="1C187A91" w:rsidR="0037249C" w:rsidRPr="006842FA" w:rsidRDefault="00EA6689" w:rsidP="00AA2CD5">
    <w:pPr>
      <w:pStyle w:val="Header"/>
      <w:tabs>
        <w:tab w:val="clear" w:pos="8306"/>
      </w:tabs>
      <w:ind w:firstLine="6804"/>
      <w:rPr>
        <w:rFonts w:cs="Arial"/>
        <w:sz w:val="20"/>
        <w:szCs w:val="20"/>
      </w:rPr>
    </w:pPr>
    <w:r w:rsidRPr="00242324">
      <w:rPr>
        <w:rFonts w:cs="Arial"/>
        <w:sz w:val="20"/>
        <w:szCs w:val="20"/>
      </w:rPr>
      <w:t>IOC/A-3</w:t>
    </w:r>
    <w:r w:rsidR="003631A7">
      <w:rPr>
        <w:rFonts w:cs="Arial"/>
        <w:sz w:val="20"/>
        <w:szCs w:val="20"/>
      </w:rPr>
      <w:t>3</w:t>
    </w:r>
    <w:r w:rsidRPr="00242324">
      <w:rPr>
        <w:rFonts w:cs="Arial"/>
        <w:sz w:val="20"/>
        <w:szCs w:val="20"/>
      </w:rPr>
      <w:t>/3.</w:t>
    </w:r>
    <w:proofErr w:type="gramStart"/>
    <w:r w:rsidR="003631A7">
      <w:rPr>
        <w:rFonts w:cs="Arial"/>
        <w:sz w:val="20"/>
        <w:szCs w:val="20"/>
      </w:rPr>
      <w:t>5</w:t>
    </w:r>
    <w:r w:rsidRPr="00242324">
      <w:rPr>
        <w:rFonts w:cs="Arial"/>
        <w:sz w:val="20"/>
        <w:szCs w:val="20"/>
      </w:rPr>
      <w:t>.Doc</w:t>
    </w:r>
    <w:proofErr w:type="gramEnd"/>
    <w:r w:rsidR="00C12E5A">
      <w:rPr>
        <w:rFonts w:cs="Arial"/>
        <w:sz w:val="20"/>
        <w:szCs w:val="20"/>
      </w:rPr>
      <w:t xml:space="preserve">(1) – </w:t>
    </w:r>
    <w:r w:rsidR="006F0C64">
      <w:rPr>
        <w:rFonts w:cs="Arial"/>
        <w:sz w:val="20"/>
        <w:szCs w:val="20"/>
      </w:rPr>
      <w:t>p</w:t>
    </w:r>
    <w:r w:rsidR="0037249C" w:rsidRPr="006842FA">
      <w:rPr>
        <w:rFonts w:cs="Arial"/>
        <w:sz w:val="20"/>
        <w:szCs w:val="20"/>
      </w:rPr>
      <w:t>age </w:t>
    </w:r>
    <w:r w:rsidR="0037249C" w:rsidRPr="006842FA">
      <w:rPr>
        <w:rStyle w:val="PageNumber"/>
        <w:rFonts w:cs="Arial"/>
        <w:sz w:val="20"/>
        <w:szCs w:val="20"/>
      </w:rPr>
      <w:fldChar w:fldCharType="begin"/>
    </w:r>
    <w:r w:rsidR="0037249C" w:rsidRPr="006842FA">
      <w:rPr>
        <w:rStyle w:val="PageNumber"/>
        <w:rFonts w:cs="Arial"/>
        <w:sz w:val="20"/>
        <w:szCs w:val="20"/>
      </w:rPr>
      <w:instrText xml:space="preserve"> PAGE </w:instrText>
    </w:r>
    <w:r w:rsidR="0037249C" w:rsidRPr="006842FA">
      <w:rPr>
        <w:rStyle w:val="PageNumber"/>
        <w:rFonts w:cs="Arial"/>
        <w:sz w:val="20"/>
        <w:szCs w:val="20"/>
      </w:rPr>
      <w:fldChar w:fldCharType="separate"/>
    </w:r>
    <w:r w:rsidR="00D0416A">
      <w:rPr>
        <w:rStyle w:val="PageNumber"/>
        <w:rFonts w:cs="Arial"/>
        <w:noProof/>
        <w:sz w:val="20"/>
        <w:szCs w:val="20"/>
      </w:rPr>
      <w:t>3</w:t>
    </w:r>
    <w:r w:rsidR="0037249C" w:rsidRPr="006842FA">
      <w:rPr>
        <w:rStyle w:val="PageNumber"/>
        <w:rFonts w:cs="Arial"/>
        <w:sz w:val="20"/>
        <w:szCs w:val="20"/>
      </w:rPr>
      <w:fldChar w:fldCharType="end"/>
    </w:r>
  </w:p>
  <w:p w14:paraId="6AAB52E1" w14:textId="77777777" w:rsidR="00441140" w:rsidRPr="00424DE6" w:rsidRDefault="00441140" w:rsidP="00AA2CD5">
    <w:pPr>
      <w:pStyle w:val="Header"/>
      <w:ind w:left="8364" w:firstLine="680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F427" w14:textId="6F1E0C3D" w:rsidR="00307660" w:rsidRPr="006842FA" w:rsidRDefault="00242324" w:rsidP="00AA2CD5">
    <w:pPr>
      <w:pStyle w:val="Header"/>
      <w:tabs>
        <w:tab w:val="clear" w:pos="8306"/>
      </w:tabs>
      <w:ind w:right="119"/>
      <w:jc w:val="right"/>
      <w:rPr>
        <w:rFonts w:cs="Arial"/>
        <w:sz w:val="20"/>
        <w:szCs w:val="20"/>
      </w:rPr>
    </w:pPr>
    <w:r w:rsidRPr="00242324">
      <w:rPr>
        <w:rFonts w:cs="Arial"/>
        <w:sz w:val="20"/>
        <w:szCs w:val="20"/>
      </w:rPr>
      <w:t>IOC/A-3</w:t>
    </w:r>
    <w:r w:rsidR="00DF41FC">
      <w:rPr>
        <w:rFonts w:cs="Arial"/>
        <w:sz w:val="20"/>
        <w:szCs w:val="20"/>
      </w:rPr>
      <w:t>3</w:t>
    </w:r>
    <w:r w:rsidRPr="00242324">
      <w:rPr>
        <w:rFonts w:cs="Arial"/>
        <w:sz w:val="20"/>
        <w:szCs w:val="20"/>
      </w:rPr>
      <w:t>/3.</w:t>
    </w:r>
    <w:proofErr w:type="gramStart"/>
    <w:r w:rsidR="00CE1B68">
      <w:rPr>
        <w:rFonts w:cs="Arial"/>
        <w:sz w:val="20"/>
        <w:szCs w:val="20"/>
      </w:rPr>
      <w:t>5</w:t>
    </w:r>
    <w:r w:rsidRPr="00242324">
      <w:rPr>
        <w:rFonts w:cs="Arial"/>
        <w:sz w:val="20"/>
        <w:szCs w:val="20"/>
      </w:rPr>
      <w:t>.Doc</w:t>
    </w:r>
    <w:proofErr w:type="gramEnd"/>
    <w:r w:rsidR="00C12E5A">
      <w:rPr>
        <w:rFonts w:cs="Arial"/>
        <w:sz w:val="20"/>
        <w:szCs w:val="20"/>
      </w:rPr>
      <w:t xml:space="preserve">(1) – </w:t>
    </w:r>
    <w:r w:rsidR="004827E4">
      <w:rPr>
        <w:rFonts w:cs="Arial"/>
        <w:sz w:val="20"/>
        <w:szCs w:val="20"/>
      </w:rPr>
      <w:t>p</w:t>
    </w:r>
    <w:r w:rsidR="00307660">
      <w:rPr>
        <w:rFonts w:cs="Arial"/>
        <w:sz w:val="20"/>
        <w:szCs w:val="20"/>
      </w:rPr>
      <w:t>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D9043B"/>
    <w:multiLevelType w:val="hybridMultilevel"/>
    <w:tmpl w:val="F4167F0A"/>
    <w:lvl w:ilvl="0" w:tplc="043E3BCA">
      <w:start w:val="1"/>
      <w:numFmt w:val="decimal"/>
      <w:pStyle w:val="EX4text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52973"/>
    <w:multiLevelType w:val="hybridMultilevel"/>
    <w:tmpl w:val="B5FC1906"/>
    <w:lvl w:ilvl="0" w:tplc="C362FA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8B5D50"/>
    <w:multiLevelType w:val="hybridMultilevel"/>
    <w:tmpl w:val="72964D36"/>
    <w:lvl w:ilvl="0" w:tplc="6B565D42">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54160"/>
    <w:multiLevelType w:val="hybridMultilevel"/>
    <w:tmpl w:val="1F568C2A"/>
    <w:lvl w:ilvl="0" w:tplc="D0469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B39E8"/>
    <w:multiLevelType w:val="hybridMultilevel"/>
    <w:tmpl w:val="62E8B2BC"/>
    <w:lvl w:ilvl="0" w:tplc="C0DC364A">
      <w:start w:val="1"/>
      <w:numFmt w:val="lowerRoman"/>
      <w:lvlText w:val="(%1)"/>
      <w:lvlJc w:val="left"/>
      <w:pPr>
        <w:ind w:left="1069" w:hanging="360"/>
      </w:pPr>
      <w:rPr>
        <w:rFonts w:hint="default"/>
        <w:sz w:val="22"/>
        <w:szCs w:val="2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15:restartNumberingAfterBreak="0">
    <w:nsid w:val="284513F4"/>
    <w:multiLevelType w:val="hybridMultilevel"/>
    <w:tmpl w:val="C7FA78FE"/>
    <w:lvl w:ilvl="0" w:tplc="280A53C2">
      <w:start w:val="1"/>
      <w:numFmt w:val="decimal"/>
      <w:lvlText w:val="%1."/>
      <w:lvlJc w:val="left"/>
      <w:pPr>
        <w:ind w:left="798" w:hanging="360"/>
      </w:pPr>
      <w:rPr>
        <w:rFonts w:hint="default"/>
      </w:rPr>
    </w:lvl>
    <w:lvl w:ilvl="1" w:tplc="040C0019" w:tentative="1">
      <w:start w:val="1"/>
      <w:numFmt w:val="lowerLetter"/>
      <w:lvlText w:val="%2."/>
      <w:lvlJc w:val="left"/>
      <w:pPr>
        <w:ind w:left="1518" w:hanging="360"/>
      </w:pPr>
    </w:lvl>
    <w:lvl w:ilvl="2" w:tplc="040C001B" w:tentative="1">
      <w:start w:val="1"/>
      <w:numFmt w:val="lowerRoman"/>
      <w:lvlText w:val="%3."/>
      <w:lvlJc w:val="right"/>
      <w:pPr>
        <w:ind w:left="2238" w:hanging="180"/>
      </w:pPr>
    </w:lvl>
    <w:lvl w:ilvl="3" w:tplc="040C000F" w:tentative="1">
      <w:start w:val="1"/>
      <w:numFmt w:val="decimal"/>
      <w:lvlText w:val="%4."/>
      <w:lvlJc w:val="left"/>
      <w:pPr>
        <w:ind w:left="2958" w:hanging="360"/>
      </w:pPr>
    </w:lvl>
    <w:lvl w:ilvl="4" w:tplc="040C0019" w:tentative="1">
      <w:start w:val="1"/>
      <w:numFmt w:val="lowerLetter"/>
      <w:lvlText w:val="%5."/>
      <w:lvlJc w:val="left"/>
      <w:pPr>
        <w:ind w:left="3678" w:hanging="360"/>
      </w:pPr>
    </w:lvl>
    <w:lvl w:ilvl="5" w:tplc="040C001B" w:tentative="1">
      <w:start w:val="1"/>
      <w:numFmt w:val="lowerRoman"/>
      <w:lvlText w:val="%6."/>
      <w:lvlJc w:val="right"/>
      <w:pPr>
        <w:ind w:left="4398" w:hanging="180"/>
      </w:pPr>
    </w:lvl>
    <w:lvl w:ilvl="6" w:tplc="040C000F" w:tentative="1">
      <w:start w:val="1"/>
      <w:numFmt w:val="decimal"/>
      <w:lvlText w:val="%7."/>
      <w:lvlJc w:val="left"/>
      <w:pPr>
        <w:ind w:left="5118" w:hanging="360"/>
      </w:pPr>
    </w:lvl>
    <w:lvl w:ilvl="7" w:tplc="040C0019" w:tentative="1">
      <w:start w:val="1"/>
      <w:numFmt w:val="lowerLetter"/>
      <w:lvlText w:val="%8."/>
      <w:lvlJc w:val="left"/>
      <w:pPr>
        <w:ind w:left="5838" w:hanging="360"/>
      </w:pPr>
    </w:lvl>
    <w:lvl w:ilvl="8" w:tplc="040C001B" w:tentative="1">
      <w:start w:val="1"/>
      <w:numFmt w:val="lowerRoman"/>
      <w:lvlText w:val="%9."/>
      <w:lvlJc w:val="right"/>
      <w:pPr>
        <w:ind w:left="6558" w:hanging="180"/>
      </w:pPr>
    </w:lvl>
  </w:abstractNum>
  <w:abstractNum w:abstractNumId="9" w15:restartNumberingAfterBreak="0">
    <w:nsid w:val="30CC4714"/>
    <w:multiLevelType w:val="multilevel"/>
    <w:tmpl w:val="3F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15:restartNumberingAfterBreak="0">
    <w:nsid w:val="33D06747"/>
    <w:multiLevelType w:val="hybridMultilevel"/>
    <w:tmpl w:val="C4847498"/>
    <w:lvl w:ilvl="0" w:tplc="35405A98">
      <w:start w:val="5"/>
      <w:numFmt w:val="bullet"/>
      <w:lvlText w:val="-"/>
      <w:lvlJc w:val="left"/>
      <w:pPr>
        <w:ind w:left="1086" w:hanging="360"/>
      </w:pPr>
      <w:rPr>
        <w:rFonts w:ascii="Arial" w:eastAsia="Arial Unicode MS" w:hAnsi="Arial" w:cs="Aria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2" w15:restartNumberingAfterBreak="0">
    <w:nsid w:val="376F6CF5"/>
    <w:multiLevelType w:val="multilevel"/>
    <w:tmpl w:val="66C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D7D0D"/>
    <w:multiLevelType w:val="multilevel"/>
    <w:tmpl w:val="5B40FBF6"/>
    <w:lvl w:ilvl="0">
      <w:start w:val="1"/>
      <w:numFmt w:val="decimal"/>
      <w:lvlText w:val="%1"/>
      <w:lvlJc w:val="left"/>
      <w:pPr>
        <w:tabs>
          <w:tab w:val="num" w:pos="720"/>
        </w:tabs>
        <w:ind w:left="0" w:firstLine="709"/>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16202C"/>
    <w:multiLevelType w:val="hybridMultilevel"/>
    <w:tmpl w:val="5C465BE8"/>
    <w:lvl w:ilvl="0" w:tplc="6B842CB8">
      <w:start w:val="1"/>
      <w:numFmt w:val="upperLetter"/>
      <w:lvlText w:val="%1."/>
      <w:lvlJc w:val="left"/>
      <w:pPr>
        <w:ind w:left="644" w:hanging="360"/>
      </w:pPr>
      <w:rPr>
        <w:rFonts w:ascii="Arial" w:eastAsia="Arial Unicode MS"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30DC1"/>
    <w:multiLevelType w:val="hybridMultilevel"/>
    <w:tmpl w:val="F508E1DE"/>
    <w:lvl w:ilvl="0" w:tplc="865E46E6">
      <w:start w:val="1"/>
      <w:numFmt w:val="decimal"/>
      <w:lvlText w:val="%1."/>
      <w:lvlJc w:val="left"/>
      <w:pPr>
        <w:ind w:left="720" w:hanging="360"/>
      </w:pPr>
      <w:rPr>
        <w:rFonts w:ascii="Arial" w:hAnsi="Arial" w:cs="Arial" w:hint="default"/>
        <w:b w:val="0"/>
        <w:bCs w:val="0"/>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204C64"/>
    <w:multiLevelType w:val="hybridMultilevel"/>
    <w:tmpl w:val="56C4212A"/>
    <w:lvl w:ilvl="0" w:tplc="AB30E35C">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C768C1"/>
    <w:multiLevelType w:val="hybridMultilevel"/>
    <w:tmpl w:val="D3E809BA"/>
    <w:lvl w:ilvl="0" w:tplc="82E6549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71307C"/>
    <w:multiLevelType w:val="hybridMultilevel"/>
    <w:tmpl w:val="800A9C98"/>
    <w:lvl w:ilvl="0" w:tplc="E538536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0"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2F256B"/>
    <w:multiLevelType w:val="multilevel"/>
    <w:tmpl w:val="A8647BD4"/>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44B35C5"/>
    <w:multiLevelType w:val="hybridMultilevel"/>
    <w:tmpl w:val="256E4662"/>
    <w:lvl w:ilvl="0" w:tplc="1AA6A1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A87526"/>
    <w:multiLevelType w:val="multilevel"/>
    <w:tmpl w:val="023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776214"/>
    <w:multiLevelType w:val="multilevel"/>
    <w:tmpl w:val="5ECAF156"/>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16cid:durableId="572937752">
    <w:abstractNumId w:val="10"/>
  </w:num>
  <w:num w:numId="2" w16cid:durableId="1678075405">
    <w:abstractNumId w:val="16"/>
  </w:num>
  <w:num w:numId="3" w16cid:durableId="2006280147">
    <w:abstractNumId w:val="0"/>
  </w:num>
  <w:num w:numId="4" w16cid:durableId="1321991">
    <w:abstractNumId w:val="2"/>
  </w:num>
  <w:num w:numId="5" w16cid:durableId="1734548371">
    <w:abstractNumId w:val="4"/>
  </w:num>
  <w:num w:numId="6" w16cid:durableId="946540261">
    <w:abstractNumId w:val="16"/>
  </w:num>
  <w:num w:numId="7" w16cid:durableId="761416369">
    <w:abstractNumId w:val="16"/>
  </w:num>
  <w:num w:numId="8" w16cid:durableId="587884316">
    <w:abstractNumId w:val="23"/>
  </w:num>
  <w:num w:numId="9" w16cid:durableId="1526602520">
    <w:abstractNumId w:val="12"/>
  </w:num>
  <w:num w:numId="10" w16cid:durableId="1237016383">
    <w:abstractNumId w:val="9"/>
  </w:num>
  <w:num w:numId="11" w16cid:durableId="1680545545">
    <w:abstractNumId w:val="20"/>
  </w:num>
  <w:num w:numId="12" w16cid:durableId="566458689">
    <w:abstractNumId w:val="21"/>
  </w:num>
  <w:num w:numId="13" w16cid:durableId="247929692">
    <w:abstractNumId w:val="18"/>
  </w:num>
  <w:num w:numId="14" w16cid:durableId="696547056">
    <w:abstractNumId w:val="14"/>
  </w:num>
  <w:num w:numId="15" w16cid:durableId="1131822702">
    <w:abstractNumId w:val="24"/>
  </w:num>
  <w:num w:numId="16" w16cid:durableId="693461447">
    <w:abstractNumId w:val="11"/>
  </w:num>
  <w:num w:numId="17" w16cid:durableId="1102726446">
    <w:abstractNumId w:val="7"/>
  </w:num>
  <w:num w:numId="18" w16cid:durableId="35786334">
    <w:abstractNumId w:val="17"/>
  </w:num>
  <w:num w:numId="19" w16cid:durableId="2078891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2318763">
    <w:abstractNumId w:val="3"/>
  </w:num>
  <w:num w:numId="21" w16cid:durableId="1722483817">
    <w:abstractNumId w:val="16"/>
    <w:lvlOverride w:ilvl="0">
      <w:startOverride w:val="1"/>
    </w:lvlOverride>
  </w:num>
  <w:num w:numId="22" w16cid:durableId="1832406208">
    <w:abstractNumId w:val="16"/>
  </w:num>
  <w:num w:numId="23" w16cid:durableId="1749376128">
    <w:abstractNumId w:val="16"/>
  </w:num>
  <w:num w:numId="24" w16cid:durableId="1684891873">
    <w:abstractNumId w:val="8"/>
  </w:num>
  <w:num w:numId="25" w16cid:durableId="1624456666">
    <w:abstractNumId w:val="22"/>
  </w:num>
  <w:num w:numId="26" w16cid:durableId="669796030">
    <w:abstractNumId w:val="16"/>
  </w:num>
  <w:num w:numId="27" w16cid:durableId="1807312026">
    <w:abstractNumId w:val="5"/>
  </w:num>
  <w:num w:numId="28" w16cid:durableId="801994466">
    <w:abstractNumId w:val="6"/>
  </w:num>
  <w:num w:numId="29" w16cid:durableId="400448360">
    <w:abstractNumId w:val="1"/>
  </w:num>
  <w:num w:numId="30" w16cid:durableId="1931044810">
    <w:abstractNumId w:val="1"/>
  </w:num>
  <w:num w:numId="31" w16cid:durableId="359353575">
    <w:abstractNumId w:val="1"/>
  </w:num>
  <w:num w:numId="32" w16cid:durableId="189152868">
    <w:abstractNumId w:val="1"/>
  </w:num>
  <w:num w:numId="33" w16cid:durableId="1190411679">
    <w:abstractNumId w:val="1"/>
  </w:num>
  <w:num w:numId="34" w16cid:durableId="1090857255">
    <w:abstractNumId w:val="1"/>
  </w:num>
  <w:num w:numId="35" w16cid:durableId="128254715">
    <w:abstractNumId w:val="1"/>
  </w:num>
  <w:num w:numId="36" w16cid:durableId="1063483451">
    <w:abstractNumId w:val="1"/>
  </w:num>
  <w:num w:numId="37" w16cid:durableId="419177891">
    <w:abstractNumId w:val="1"/>
  </w:num>
  <w:num w:numId="38" w16cid:durableId="296492527">
    <w:abstractNumId w:val="1"/>
  </w:num>
  <w:num w:numId="39" w16cid:durableId="1734766860">
    <w:abstractNumId w:val="1"/>
  </w:num>
  <w:num w:numId="40" w16cid:durableId="567305042">
    <w:abstractNumId w:val="1"/>
  </w:num>
  <w:num w:numId="41" w16cid:durableId="1726948244">
    <w:abstractNumId w:val="19"/>
  </w:num>
  <w:num w:numId="42" w16cid:durableId="5571124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AC"/>
    <w:rsid w:val="000021BC"/>
    <w:rsid w:val="00010BBB"/>
    <w:rsid w:val="000156E0"/>
    <w:rsid w:val="00020AA1"/>
    <w:rsid w:val="000278A0"/>
    <w:rsid w:val="00040227"/>
    <w:rsid w:val="000417CB"/>
    <w:rsid w:val="000560F7"/>
    <w:rsid w:val="00062051"/>
    <w:rsid w:val="00076BD8"/>
    <w:rsid w:val="00084687"/>
    <w:rsid w:val="00085274"/>
    <w:rsid w:val="00085D6A"/>
    <w:rsid w:val="00085D85"/>
    <w:rsid w:val="00090A62"/>
    <w:rsid w:val="000B276A"/>
    <w:rsid w:val="000B693C"/>
    <w:rsid w:val="000B7E2A"/>
    <w:rsid w:val="000C2EE5"/>
    <w:rsid w:val="000C38C8"/>
    <w:rsid w:val="000C61A0"/>
    <w:rsid w:val="000C6E08"/>
    <w:rsid w:val="000D16AC"/>
    <w:rsid w:val="000D5B8F"/>
    <w:rsid w:val="000E0239"/>
    <w:rsid w:val="000E3E1A"/>
    <w:rsid w:val="000E6EE5"/>
    <w:rsid w:val="000E73F9"/>
    <w:rsid w:val="000F0254"/>
    <w:rsid w:val="0010242E"/>
    <w:rsid w:val="001156AE"/>
    <w:rsid w:val="00123719"/>
    <w:rsid w:val="001241D7"/>
    <w:rsid w:val="0012479D"/>
    <w:rsid w:val="001370E4"/>
    <w:rsid w:val="00137BED"/>
    <w:rsid w:val="00137E97"/>
    <w:rsid w:val="001448C4"/>
    <w:rsid w:val="00152A1B"/>
    <w:rsid w:val="00155BA3"/>
    <w:rsid w:val="00163192"/>
    <w:rsid w:val="00166397"/>
    <w:rsid w:val="00167158"/>
    <w:rsid w:val="00171EF4"/>
    <w:rsid w:val="001732BA"/>
    <w:rsid w:val="001877F5"/>
    <w:rsid w:val="00196052"/>
    <w:rsid w:val="00196F31"/>
    <w:rsid w:val="001A037F"/>
    <w:rsid w:val="001A58AE"/>
    <w:rsid w:val="001A63A0"/>
    <w:rsid w:val="001B3B24"/>
    <w:rsid w:val="001C21FC"/>
    <w:rsid w:val="001C2C69"/>
    <w:rsid w:val="001C6455"/>
    <w:rsid w:val="001C7875"/>
    <w:rsid w:val="001D27FC"/>
    <w:rsid w:val="001D75DB"/>
    <w:rsid w:val="001E0980"/>
    <w:rsid w:val="001E7083"/>
    <w:rsid w:val="001E7522"/>
    <w:rsid w:val="001F5E0D"/>
    <w:rsid w:val="00203217"/>
    <w:rsid w:val="00217DF6"/>
    <w:rsid w:val="00223053"/>
    <w:rsid w:val="00242324"/>
    <w:rsid w:val="002579C2"/>
    <w:rsid w:val="002652F9"/>
    <w:rsid w:val="00274BB0"/>
    <w:rsid w:val="0027622C"/>
    <w:rsid w:val="002810CD"/>
    <w:rsid w:val="00285CF5"/>
    <w:rsid w:val="002A0AE0"/>
    <w:rsid w:val="002A19EF"/>
    <w:rsid w:val="002B282C"/>
    <w:rsid w:val="002B7A48"/>
    <w:rsid w:val="002C7DE3"/>
    <w:rsid w:val="002D14C8"/>
    <w:rsid w:val="002D441C"/>
    <w:rsid w:val="002D52FA"/>
    <w:rsid w:val="002E0859"/>
    <w:rsid w:val="002E09D1"/>
    <w:rsid w:val="002E2C57"/>
    <w:rsid w:val="002E2D68"/>
    <w:rsid w:val="002E6768"/>
    <w:rsid w:val="002E6D7F"/>
    <w:rsid w:val="00305778"/>
    <w:rsid w:val="00307660"/>
    <w:rsid w:val="0031161D"/>
    <w:rsid w:val="003178E9"/>
    <w:rsid w:val="00317E5D"/>
    <w:rsid w:val="003404ED"/>
    <w:rsid w:val="00340A23"/>
    <w:rsid w:val="0034156B"/>
    <w:rsid w:val="00347E19"/>
    <w:rsid w:val="003623CC"/>
    <w:rsid w:val="003631A7"/>
    <w:rsid w:val="003640DC"/>
    <w:rsid w:val="00364C91"/>
    <w:rsid w:val="0037184C"/>
    <w:rsid w:val="0037249C"/>
    <w:rsid w:val="003756CF"/>
    <w:rsid w:val="0038059E"/>
    <w:rsid w:val="003805F5"/>
    <w:rsid w:val="00387AE8"/>
    <w:rsid w:val="00393543"/>
    <w:rsid w:val="003A0024"/>
    <w:rsid w:val="003A1612"/>
    <w:rsid w:val="003A561A"/>
    <w:rsid w:val="003A7860"/>
    <w:rsid w:val="003B5530"/>
    <w:rsid w:val="003D3711"/>
    <w:rsid w:val="003E0E67"/>
    <w:rsid w:val="003F43F9"/>
    <w:rsid w:val="003F7186"/>
    <w:rsid w:val="004002D4"/>
    <w:rsid w:val="00413F17"/>
    <w:rsid w:val="004165C9"/>
    <w:rsid w:val="00424DE6"/>
    <w:rsid w:val="00434F47"/>
    <w:rsid w:val="0043609D"/>
    <w:rsid w:val="00441140"/>
    <w:rsid w:val="00451B96"/>
    <w:rsid w:val="004529B8"/>
    <w:rsid w:val="00454C74"/>
    <w:rsid w:val="00467E3F"/>
    <w:rsid w:val="004827E4"/>
    <w:rsid w:val="0048449B"/>
    <w:rsid w:val="00490261"/>
    <w:rsid w:val="0049221C"/>
    <w:rsid w:val="00497E20"/>
    <w:rsid w:val="004A135F"/>
    <w:rsid w:val="004A5784"/>
    <w:rsid w:val="004B4ECA"/>
    <w:rsid w:val="004B7BD6"/>
    <w:rsid w:val="004C1625"/>
    <w:rsid w:val="004D6679"/>
    <w:rsid w:val="004E0B15"/>
    <w:rsid w:val="004F397F"/>
    <w:rsid w:val="004F7D6C"/>
    <w:rsid w:val="0050245B"/>
    <w:rsid w:val="00515584"/>
    <w:rsid w:val="00525395"/>
    <w:rsid w:val="00526572"/>
    <w:rsid w:val="0053255C"/>
    <w:rsid w:val="00536148"/>
    <w:rsid w:val="005407B6"/>
    <w:rsid w:val="00547068"/>
    <w:rsid w:val="0058198C"/>
    <w:rsid w:val="00587137"/>
    <w:rsid w:val="00590C03"/>
    <w:rsid w:val="005B2FDF"/>
    <w:rsid w:val="005B57CA"/>
    <w:rsid w:val="005B5B97"/>
    <w:rsid w:val="005C02B7"/>
    <w:rsid w:val="005C7A36"/>
    <w:rsid w:val="005C7D76"/>
    <w:rsid w:val="005D0ADD"/>
    <w:rsid w:val="005E1C99"/>
    <w:rsid w:val="005E544C"/>
    <w:rsid w:val="005E6889"/>
    <w:rsid w:val="005F4D23"/>
    <w:rsid w:val="005F6E3A"/>
    <w:rsid w:val="00602A67"/>
    <w:rsid w:val="006110DA"/>
    <w:rsid w:val="0062678D"/>
    <w:rsid w:val="006308BD"/>
    <w:rsid w:val="00633EA5"/>
    <w:rsid w:val="00637672"/>
    <w:rsid w:val="00676F33"/>
    <w:rsid w:val="0068128E"/>
    <w:rsid w:val="006842FA"/>
    <w:rsid w:val="0068682C"/>
    <w:rsid w:val="00687541"/>
    <w:rsid w:val="00690A0C"/>
    <w:rsid w:val="00690FD2"/>
    <w:rsid w:val="00693199"/>
    <w:rsid w:val="00696079"/>
    <w:rsid w:val="006A761F"/>
    <w:rsid w:val="006B2FDD"/>
    <w:rsid w:val="006B4B95"/>
    <w:rsid w:val="006B51BA"/>
    <w:rsid w:val="006B59E2"/>
    <w:rsid w:val="006C18D9"/>
    <w:rsid w:val="006C1BDA"/>
    <w:rsid w:val="006C6449"/>
    <w:rsid w:val="006D1125"/>
    <w:rsid w:val="006D3998"/>
    <w:rsid w:val="006D5041"/>
    <w:rsid w:val="006E1454"/>
    <w:rsid w:val="006E3870"/>
    <w:rsid w:val="006E692F"/>
    <w:rsid w:val="006E7073"/>
    <w:rsid w:val="006F0C64"/>
    <w:rsid w:val="006F1F38"/>
    <w:rsid w:val="00703F52"/>
    <w:rsid w:val="00723A8F"/>
    <w:rsid w:val="00735830"/>
    <w:rsid w:val="007367B0"/>
    <w:rsid w:val="00737A18"/>
    <w:rsid w:val="00741CAA"/>
    <w:rsid w:val="007457B7"/>
    <w:rsid w:val="00746B89"/>
    <w:rsid w:val="007471D6"/>
    <w:rsid w:val="00762C36"/>
    <w:rsid w:val="00785386"/>
    <w:rsid w:val="007870B1"/>
    <w:rsid w:val="0079212B"/>
    <w:rsid w:val="007B1B9A"/>
    <w:rsid w:val="007C1458"/>
    <w:rsid w:val="007D3B71"/>
    <w:rsid w:val="007E4F92"/>
    <w:rsid w:val="00801754"/>
    <w:rsid w:val="008048D2"/>
    <w:rsid w:val="00806C60"/>
    <w:rsid w:val="00813CAF"/>
    <w:rsid w:val="008302D7"/>
    <w:rsid w:val="00831211"/>
    <w:rsid w:val="0084251A"/>
    <w:rsid w:val="00850CB1"/>
    <w:rsid w:val="00853565"/>
    <w:rsid w:val="00854DA0"/>
    <w:rsid w:val="00863113"/>
    <w:rsid w:val="00867FCD"/>
    <w:rsid w:val="00870C14"/>
    <w:rsid w:val="00870CE7"/>
    <w:rsid w:val="008754BE"/>
    <w:rsid w:val="00875ECD"/>
    <w:rsid w:val="008823B5"/>
    <w:rsid w:val="008849F0"/>
    <w:rsid w:val="0089077E"/>
    <w:rsid w:val="00891331"/>
    <w:rsid w:val="00891D09"/>
    <w:rsid w:val="00893AD3"/>
    <w:rsid w:val="0089563B"/>
    <w:rsid w:val="008A4F60"/>
    <w:rsid w:val="008A6E5C"/>
    <w:rsid w:val="008B2DC6"/>
    <w:rsid w:val="008B384B"/>
    <w:rsid w:val="008B4705"/>
    <w:rsid w:val="008B4C73"/>
    <w:rsid w:val="008D1EEC"/>
    <w:rsid w:val="008D2398"/>
    <w:rsid w:val="008D548F"/>
    <w:rsid w:val="008E3DD1"/>
    <w:rsid w:val="008F0FBC"/>
    <w:rsid w:val="008F5B6C"/>
    <w:rsid w:val="008F6942"/>
    <w:rsid w:val="009026D3"/>
    <w:rsid w:val="00936C3F"/>
    <w:rsid w:val="00937EF7"/>
    <w:rsid w:val="0094763F"/>
    <w:rsid w:val="00950A83"/>
    <w:rsid w:val="00952863"/>
    <w:rsid w:val="00961211"/>
    <w:rsid w:val="0096159B"/>
    <w:rsid w:val="00966A0F"/>
    <w:rsid w:val="00980050"/>
    <w:rsid w:val="00980B08"/>
    <w:rsid w:val="00987BBD"/>
    <w:rsid w:val="00993CA4"/>
    <w:rsid w:val="009A62A9"/>
    <w:rsid w:val="009B2E7D"/>
    <w:rsid w:val="009B63AB"/>
    <w:rsid w:val="009C0A89"/>
    <w:rsid w:val="009C13EF"/>
    <w:rsid w:val="009C15B1"/>
    <w:rsid w:val="009D30AD"/>
    <w:rsid w:val="009E6A03"/>
    <w:rsid w:val="009E78BB"/>
    <w:rsid w:val="009F2FC0"/>
    <w:rsid w:val="009F7769"/>
    <w:rsid w:val="00A01A30"/>
    <w:rsid w:val="00A02F9F"/>
    <w:rsid w:val="00A11697"/>
    <w:rsid w:val="00A14093"/>
    <w:rsid w:val="00A203FC"/>
    <w:rsid w:val="00A23B4A"/>
    <w:rsid w:val="00A25BC8"/>
    <w:rsid w:val="00A43E9C"/>
    <w:rsid w:val="00A51715"/>
    <w:rsid w:val="00A66FC7"/>
    <w:rsid w:val="00A67718"/>
    <w:rsid w:val="00A759A6"/>
    <w:rsid w:val="00A92572"/>
    <w:rsid w:val="00A92893"/>
    <w:rsid w:val="00A931AA"/>
    <w:rsid w:val="00AA2B13"/>
    <w:rsid w:val="00AA2CD5"/>
    <w:rsid w:val="00AC6A22"/>
    <w:rsid w:val="00AC6BA4"/>
    <w:rsid w:val="00AC773C"/>
    <w:rsid w:val="00AD3D55"/>
    <w:rsid w:val="00AD494A"/>
    <w:rsid w:val="00AD7234"/>
    <w:rsid w:val="00AE329C"/>
    <w:rsid w:val="00B042BC"/>
    <w:rsid w:val="00B06427"/>
    <w:rsid w:val="00B13226"/>
    <w:rsid w:val="00B37EDA"/>
    <w:rsid w:val="00B55C66"/>
    <w:rsid w:val="00B64631"/>
    <w:rsid w:val="00B722DE"/>
    <w:rsid w:val="00B73F4F"/>
    <w:rsid w:val="00B818D2"/>
    <w:rsid w:val="00B83068"/>
    <w:rsid w:val="00B838FB"/>
    <w:rsid w:val="00B94164"/>
    <w:rsid w:val="00BA0B22"/>
    <w:rsid w:val="00BA76D9"/>
    <w:rsid w:val="00BB5D00"/>
    <w:rsid w:val="00BC2FD9"/>
    <w:rsid w:val="00BD6603"/>
    <w:rsid w:val="00BD6E89"/>
    <w:rsid w:val="00BE35BA"/>
    <w:rsid w:val="00BE4427"/>
    <w:rsid w:val="00BE68DC"/>
    <w:rsid w:val="00BF069C"/>
    <w:rsid w:val="00BF1838"/>
    <w:rsid w:val="00BF378D"/>
    <w:rsid w:val="00BF3835"/>
    <w:rsid w:val="00BF45BD"/>
    <w:rsid w:val="00BF6786"/>
    <w:rsid w:val="00BF67E7"/>
    <w:rsid w:val="00C008B0"/>
    <w:rsid w:val="00C05769"/>
    <w:rsid w:val="00C1002D"/>
    <w:rsid w:val="00C11C55"/>
    <w:rsid w:val="00C12E5A"/>
    <w:rsid w:val="00C14DD3"/>
    <w:rsid w:val="00C16294"/>
    <w:rsid w:val="00C253EF"/>
    <w:rsid w:val="00C2635E"/>
    <w:rsid w:val="00C31853"/>
    <w:rsid w:val="00C318D0"/>
    <w:rsid w:val="00C42FFB"/>
    <w:rsid w:val="00C6486C"/>
    <w:rsid w:val="00C648D3"/>
    <w:rsid w:val="00C6660D"/>
    <w:rsid w:val="00C674AF"/>
    <w:rsid w:val="00C7393A"/>
    <w:rsid w:val="00C75B02"/>
    <w:rsid w:val="00C76160"/>
    <w:rsid w:val="00C77DDE"/>
    <w:rsid w:val="00C86109"/>
    <w:rsid w:val="00C87727"/>
    <w:rsid w:val="00C962F0"/>
    <w:rsid w:val="00CB2684"/>
    <w:rsid w:val="00CC419E"/>
    <w:rsid w:val="00CC7056"/>
    <w:rsid w:val="00CD4AED"/>
    <w:rsid w:val="00CD6EF7"/>
    <w:rsid w:val="00CE1B68"/>
    <w:rsid w:val="00CE799A"/>
    <w:rsid w:val="00CF0138"/>
    <w:rsid w:val="00D013ED"/>
    <w:rsid w:val="00D0416A"/>
    <w:rsid w:val="00D06F71"/>
    <w:rsid w:val="00D166EE"/>
    <w:rsid w:val="00D2392E"/>
    <w:rsid w:val="00D265AD"/>
    <w:rsid w:val="00D27F78"/>
    <w:rsid w:val="00D36BDC"/>
    <w:rsid w:val="00D379A6"/>
    <w:rsid w:val="00D43CC7"/>
    <w:rsid w:val="00D448A1"/>
    <w:rsid w:val="00D44B24"/>
    <w:rsid w:val="00D5049E"/>
    <w:rsid w:val="00D55FEC"/>
    <w:rsid w:val="00D71125"/>
    <w:rsid w:val="00D859D0"/>
    <w:rsid w:val="00D91C09"/>
    <w:rsid w:val="00D92DD1"/>
    <w:rsid w:val="00D95CAD"/>
    <w:rsid w:val="00D96F5C"/>
    <w:rsid w:val="00DB1DFA"/>
    <w:rsid w:val="00DE35FF"/>
    <w:rsid w:val="00DE4579"/>
    <w:rsid w:val="00DE6237"/>
    <w:rsid w:val="00DF1664"/>
    <w:rsid w:val="00DF2FB9"/>
    <w:rsid w:val="00DF3AD0"/>
    <w:rsid w:val="00DF41FC"/>
    <w:rsid w:val="00E27F5E"/>
    <w:rsid w:val="00E334EB"/>
    <w:rsid w:val="00E354C3"/>
    <w:rsid w:val="00E454CD"/>
    <w:rsid w:val="00E55234"/>
    <w:rsid w:val="00E608A6"/>
    <w:rsid w:val="00E60CBC"/>
    <w:rsid w:val="00E63DEF"/>
    <w:rsid w:val="00E64936"/>
    <w:rsid w:val="00E71BD3"/>
    <w:rsid w:val="00E75CF6"/>
    <w:rsid w:val="00E86189"/>
    <w:rsid w:val="00EA168C"/>
    <w:rsid w:val="00EA6689"/>
    <w:rsid w:val="00EA6DDF"/>
    <w:rsid w:val="00EB52DB"/>
    <w:rsid w:val="00EC53C8"/>
    <w:rsid w:val="00EC753F"/>
    <w:rsid w:val="00EE0542"/>
    <w:rsid w:val="00EE11A0"/>
    <w:rsid w:val="00EE237B"/>
    <w:rsid w:val="00EF3957"/>
    <w:rsid w:val="00F10024"/>
    <w:rsid w:val="00F10F21"/>
    <w:rsid w:val="00F13BAA"/>
    <w:rsid w:val="00F26226"/>
    <w:rsid w:val="00F269BB"/>
    <w:rsid w:val="00F271BF"/>
    <w:rsid w:val="00F431C9"/>
    <w:rsid w:val="00F463F2"/>
    <w:rsid w:val="00F474F9"/>
    <w:rsid w:val="00F47A40"/>
    <w:rsid w:val="00F50B8E"/>
    <w:rsid w:val="00F5447C"/>
    <w:rsid w:val="00F56CDF"/>
    <w:rsid w:val="00F60A12"/>
    <w:rsid w:val="00F66E0A"/>
    <w:rsid w:val="00F7009F"/>
    <w:rsid w:val="00F70FD9"/>
    <w:rsid w:val="00F74494"/>
    <w:rsid w:val="00F8068F"/>
    <w:rsid w:val="00F8186D"/>
    <w:rsid w:val="00F8204B"/>
    <w:rsid w:val="00F82282"/>
    <w:rsid w:val="00FB3901"/>
    <w:rsid w:val="00FB4B68"/>
    <w:rsid w:val="00FB6A51"/>
    <w:rsid w:val="00FC0813"/>
    <w:rsid w:val="00FC3532"/>
    <w:rsid w:val="00FC54E1"/>
    <w:rsid w:val="00FE2557"/>
    <w:rsid w:val="00FF506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04E3B1"/>
  <w15:docId w15:val="{A465CC3F-A5D9-4589-9960-2E4B7F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7249C"/>
    <w:pPr>
      <w:tabs>
        <w:tab w:val="clear" w:pos="567"/>
        <w:tab w:val="left" w:pos="709"/>
      </w:tabs>
    </w:pPr>
    <w:rPr>
      <w:rFonts w:eastAsia="Arial Unicode MS" w:cs="Arial"/>
      <w:szCs w:val="22"/>
      <w:u w:val="single"/>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37249C"/>
    <w:rPr>
      <w:rFonts w:ascii="Arial" w:eastAsia="Arial Unicode MS" w:hAnsi="Arial" w:cs="Arial"/>
      <w:snapToGrid w:val="0"/>
      <w:sz w:val="22"/>
      <w:szCs w:val="22"/>
      <w:u w:val="single"/>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paragraph" w:styleId="NormalWeb">
    <w:name w:val="Normal (Web)"/>
    <w:basedOn w:val="Normal"/>
    <w:uiPriority w:val="99"/>
    <w:unhideWhenUsed/>
    <w:rsid w:val="00806C60"/>
    <w:pPr>
      <w:tabs>
        <w:tab w:val="clear" w:pos="567"/>
      </w:tabs>
      <w:snapToGrid/>
      <w:spacing w:before="100" w:beforeAutospacing="1" w:after="100" w:afterAutospacing="1"/>
    </w:pPr>
    <w:rPr>
      <w:rFonts w:ascii="Times New Roman" w:hAnsi="Times New Roman"/>
      <w:snapToGrid/>
      <w:sz w:val="24"/>
      <w:lang w:val="fr-FR" w:eastAsia="fr-FR"/>
    </w:rPr>
  </w:style>
  <w:style w:type="character" w:styleId="Emphasis">
    <w:name w:val="Emphasis"/>
    <w:basedOn w:val="DefaultParagraphFont"/>
    <w:uiPriority w:val="20"/>
    <w:qFormat/>
    <w:rsid w:val="00D95CAD"/>
    <w:rPr>
      <w:i/>
      <w:iCs/>
    </w:rPr>
  </w:style>
  <w:style w:type="character" w:customStyle="1" w:styleId="FootnoteTextChar">
    <w:name w:val="Footnote Text Char"/>
    <w:basedOn w:val="DefaultParagraphFont"/>
    <w:link w:val="FootnoteText"/>
    <w:uiPriority w:val="99"/>
    <w:rsid w:val="009F2FC0"/>
    <w:rPr>
      <w:rFonts w:ascii="Arial" w:hAnsi="Arial"/>
      <w:snapToGrid w:val="0"/>
      <w:lang w:val="en-GB" w:eastAsia="en-US"/>
    </w:rPr>
  </w:style>
  <w:style w:type="paragraph" w:styleId="CommentText">
    <w:name w:val="annotation text"/>
    <w:basedOn w:val="Normal"/>
    <w:link w:val="CommentTextChar"/>
    <w:rsid w:val="009F2FC0"/>
    <w:rPr>
      <w:sz w:val="20"/>
      <w:szCs w:val="20"/>
    </w:rPr>
  </w:style>
  <w:style w:type="character" w:customStyle="1" w:styleId="CommentTextChar">
    <w:name w:val="Comment Text Char"/>
    <w:basedOn w:val="DefaultParagraphFont"/>
    <w:link w:val="CommentText"/>
    <w:rsid w:val="009F2FC0"/>
    <w:rPr>
      <w:rFonts w:ascii="Arial" w:hAnsi="Arial"/>
      <w:snapToGrid w:val="0"/>
      <w:lang w:val="en-GB" w:eastAsia="en-US"/>
    </w:rPr>
  </w:style>
  <w:style w:type="paragraph" w:styleId="CommentSubject">
    <w:name w:val="annotation subject"/>
    <w:basedOn w:val="CommentText"/>
    <w:next w:val="CommentText"/>
    <w:link w:val="CommentSubjectChar"/>
    <w:uiPriority w:val="99"/>
    <w:unhideWhenUsed/>
    <w:rsid w:val="009F2FC0"/>
    <w:pPr>
      <w:tabs>
        <w:tab w:val="clear" w:pos="567"/>
        <w:tab w:val="left" w:pos="709"/>
      </w:tabs>
    </w:pPr>
    <w:rPr>
      <w:rFonts w:ascii="Times New Roman" w:eastAsia="SimSun" w:hAnsi="Times New Roman"/>
      <w:b/>
      <w:bCs/>
      <w:lang w:val="fr-FR" w:eastAsia="zh-CN"/>
    </w:rPr>
  </w:style>
  <w:style w:type="character" w:customStyle="1" w:styleId="CommentSubjectChar">
    <w:name w:val="Comment Subject Char"/>
    <w:basedOn w:val="CommentTextChar"/>
    <w:link w:val="CommentSubject"/>
    <w:uiPriority w:val="99"/>
    <w:rsid w:val="009F2FC0"/>
    <w:rPr>
      <w:rFonts w:ascii="Arial" w:eastAsia="SimSun" w:hAnsi="Arial"/>
      <w:b/>
      <w:bCs/>
      <w:snapToGrid w:val="0"/>
      <w:lang w:val="en-GB" w:eastAsia="zh-CN"/>
    </w:rPr>
  </w:style>
  <w:style w:type="paragraph" w:styleId="BalloonText">
    <w:name w:val="Balloon Text"/>
    <w:basedOn w:val="Normal"/>
    <w:link w:val="BalloonTextChar"/>
    <w:rsid w:val="00E75CF6"/>
    <w:rPr>
      <w:rFonts w:ascii="Tahoma" w:hAnsi="Tahoma" w:cs="Tahoma"/>
      <w:sz w:val="16"/>
      <w:szCs w:val="16"/>
    </w:rPr>
  </w:style>
  <w:style w:type="character" w:customStyle="1" w:styleId="BalloonTextChar">
    <w:name w:val="Balloon Text Char"/>
    <w:basedOn w:val="DefaultParagraphFont"/>
    <w:link w:val="BalloonText"/>
    <w:rsid w:val="00E75CF6"/>
    <w:rPr>
      <w:rFonts w:ascii="Tahoma" w:hAnsi="Tahoma" w:cs="Tahoma"/>
      <w:snapToGrid w:val="0"/>
      <w:sz w:val="16"/>
      <w:szCs w:val="16"/>
      <w:lang w:val="en-GB" w:eastAsia="en-US"/>
    </w:rPr>
  </w:style>
  <w:style w:type="paragraph" w:styleId="ListParagraph">
    <w:name w:val="List Paragraph"/>
    <w:aliases w:val="ADB List Paragraph,Dot pt,List Paragraph Char Char Char,Indicator Text,List Paragraph1,Numbered Para 1,List Paragraph12,Bullet Points,MAIN CONTENT,Bullet 1,Colorful List - Accent 11,Light Grid - Accent 31,References,Indent Paragraph,stil3"/>
    <w:basedOn w:val="Normal"/>
    <w:link w:val="ListParagraphChar"/>
    <w:uiPriority w:val="34"/>
    <w:qFormat/>
    <w:rsid w:val="00BE35BA"/>
    <w:pPr>
      <w:tabs>
        <w:tab w:val="clear" w:pos="567"/>
        <w:tab w:val="left" w:pos="709"/>
      </w:tabs>
      <w:snapToGrid/>
      <w:ind w:left="720"/>
      <w:contextualSpacing/>
      <w:jc w:val="both"/>
    </w:pPr>
    <w:rPr>
      <w:rFonts w:ascii="Times New Roman" w:hAnsi="Times New Roman"/>
      <w:snapToGrid/>
      <w:sz w:val="24"/>
      <w:szCs w:val="20"/>
    </w:rPr>
  </w:style>
  <w:style w:type="character" w:styleId="FollowedHyperlink">
    <w:name w:val="FollowedHyperlink"/>
    <w:basedOn w:val="DefaultParagraphFont"/>
    <w:semiHidden/>
    <w:unhideWhenUsed/>
    <w:rsid w:val="0089563B"/>
    <w:rPr>
      <w:color w:val="800080" w:themeColor="followedHyperlink"/>
      <w:u w:val="single"/>
    </w:rPr>
  </w:style>
  <w:style w:type="character" w:styleId="CommentReference">
    <w:name w:val="annotation reference"/>
    <w:basedOn w:val="DefaultParagraphFont"/>
    <w:semiHidden/>
    <w:unhideWhenUsed/>
    <w:rsid w:val="006E1454"/>
    <w:rPr>
      <w:sz w:val="16"/>
      <w:szCs w:val="16"/>
    </w:rPr>
  </w:style>
  <w:style w:type="paragraph" w:styleId="Revision">
    <w:name w:val="Revision"/>
    <w:hidden/>
    <w:uiPriority w:val="99"/>
    <w:semiHidden/>
    <w:rsid w:val="006E1454"/>
    <w:rPr>
      <w:rFonts w:ascii="Arial" w:hAnsi="Arial"/>
      <w:snapToGrid w:val="0"/>
      <w:sz w:val="22"/>
      <w:szCs w:val="24"/>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008B0"/>
    <w:pPr>
      <w:tabs>
        <w:tab w:val="clear" w:pos="567"/>
      </w:tabs>
      <w:snapToGrid/>
      <w:spacing w:before="120" w:after="160" w:line="240" w:lineRule="exact"/>
    </w:pPr>
    <w:rPr>
      <w:rFonts w:ascii="Times New Roman" w:hAnsi="Times New Roman"/>
      <w:snapToGrid/>
      <w:sz w:val="20"/>
      <w:szCs w:val="20"/>
      <w:vertAlign w:val="superscript"/>
      <w:lang w:val="fr-FR" w:eastAsia="fr-FR"/>
    </w:rPr>
  </w:style>
  <w:style w:type="character" w:customStyle="1" w:styleId="UnresolvedMention1">
    <w:name w:val="Unresolved Mention1"/>
    <w:basedOn w:val="DefaultParagraphFont"/>
    <w:uiPriority w:val="99"/>
    <w:semiHidden/>
    <w:unhideWhenUsed/>
    <w:rsid w:val="00242324"/>
    <w:rPr>
      <w:color w:val="605E5C"/>
      <w:shd w:val="clear" w:color="auto" w:fill="E1DFDD"/>
    </w:rPr>
  </w:style>
  <w:style w:type="paragraph" w:customStyle="1" w:styleId="EX4subtitles">
    <w:name w:val="EX4 sub titles"/>
    <w:basedOn w:val="Normal"/>
    <w:link w:val="EX4subtitlesChar"/>
    <w:qFormat/>
    <w:rsid w:val="002E2D68"/>
    <w:pPr>
      <w:tabs>
        <w:tab w:val="clear" w:pos="567"/>
      </w:tabs>
      <w:autoSpaceDE w:val="0"/>
      <w:autoSpaceDN w:val="0"/>
      <w:adjustRightInd w:val="0"/>
      <w:snapToGrid/>
      <w:spacing w:before="240" w:after="160" w:line="276" w:lineRule="auto"/>
    </w:pPr>
    <w:rPr>
      <w:rFonts w:asciiTheme="minorBidi" w:eastAsiaTheme="minorEastAsia" w:hAnsiTheme="minorBidi" w:cstheme="minorBidi"/>
      <w:b/>
      <w:bCs/>
      <w:snapToGrid/>
      <w:color w:val="000000"/>
      <w:szCs w:val="22"/>
      <w:lang w:val="en-US" w:eastAsia="zh-CN"/>
    </w:rPr>
  </w:style>
  <w:style w:type="character" w:customStyle="1" w:styleId="EX4subtitlesChar">
    <w:name w:val="EX4 sub titles Char"/>
    <w:basedOn w:val="DefaultParagraphFont"/>
    <w:link w:val="EX4subtitles"/>
    <w:rsid w:val="002E2D68"/>
    <w:rPr>
      <w:rFonts w:asciiTheme="minorBidi" w:eastAsiaTheme="minorEastAsia" w:hAnsiTheme="minorBidi" w:cstheme="minorBidi"/>
      <w:b/>
      <w:bCs/>
      <w:color w:val="000000"/>
      <w:sz w:val="22"/>
      <w:szCs w:val="22"/>
      <w:lang w:val="en-US" w:eastAsia="zh-CN"/>
    </w:rPr>
  </w:style>
  <w:style w:type="paragraph" w:customStyle="1" w:styleId="EX4texte">
    <w:name w:val="EX4 texte"/>
    <w:basedOn w:val="Normal"/>
    <w:link w:val="EX4texteChar"/>
    <w:autoRedefine/>
    <w:qFormat/>
    <w:rsid w:val="00AA2CD5"/>
    <w:pPr>
      <w:numPr>
        <w:numId w:val="29"/>
      </w:numPr>
      <w:tabs>
        <w:tab w:val="clear" w:pos="567"/>
        <w:tab w:val="left" w:pos="854"/>
      </w:tabs>
      <w:spacing w:after="240"/>
      <w:ind w:left="0" w:firstLine="0"/>
      <w:jc w:val="both"/>
    </w:pPr>
    <w:rPr>
      <w:rFonts w:asciiTheme="minorBidi" w:eastAsia="SimSun" w:hAnsiTheme="minorBidi" w:cstheme="minorBidi"/>
      <w:shd w:val="clear" w:color="auto" w:fill="FFFFFF"/>
      <w:lang w:val="en-IN" w:eastAsia="zh-CN"/>
    </w:rPr>
  </w:style>
  <w:style w:type="character" w:customStyle="1" w:styleId="EX4texteChar">
    <w:name w:val="EX4 texte Char"/>
    <w:basedOn w:val="DefaultParagraphFont"/>
    <w:link w:val="EX4texte"/>
    <w:rsid w:val="00AA2CD5"/>
    <w:rPr>
      <w:rFonts w:asciiTheme="minorBidi" w:eastAsia="SimSun" w:hAnsiTheme="minorBidi" w:cstheme="minorBidi"/>
      <w:snapToGrid w:val="0"/>
      <w:sz w:val="22"/>
      <w:szCs w:val="24"/>
      <w:lang w:val="en-IN" w:eastAsia="zh-CN"/>
    </w:rPr>
  </w:style>
  <w:style w:type="character" w:customStyle="1" w:styleId="ListParagraphChar">
    <w:name w:val="List Paragraph Char"/>
    <w:aliases w:val="ADB List Paragraph Char,Dot pt Char,List Paragraph Char Char Char Char,Indicator Text Char,List Paragraph1 Char,Numbered Para 1 Char,List Paragraph12 Char,Bullet Points Char,MAIN CONTENT Char,Bullet 1 Char,Light Grid - Accent 31 Char"/>
    <w:basedOn w:val="DefaultParagraphFont"/>
    <w:link w:val="ListParagraph"/>
    <w:uiPriority w:val="34"/>
    <w:qFormat/>
    <w:locked/>
    <w:rsid w:val="00741CAA"/>
    <w:rPr>
      <w:sz w:val="24"/>
      <w:lang w:val="en-GB" w:eastAsia="en-US"/>
    </w:rPr>
  </w:style>
  <w:style w:type="character" w:styleId="UnresolvedMention">
    <w:name w:val="Unresolved Mention"/>
    <w:basedOn w:val="DefaultParagraphFont"/>
    <w:uiPriority w:val="99"/>
    <w:semiHidden/>
    <w:unhideWhenUsed/>
    <w:rsid w:val="00723A8F"/>
    <w:rPr>
      <w:color w:val="605E5C"/>
      <w:shd w:val="clear" w:color="auto" w:fill="E1DFDD"/>
    </w:rPr>
  </w:style>
  <w:style w:type="character" w:customStyle="1" w:styleId="apple-converted-space">
    <w:name w:val="apple-converted-space"/>
    <w:basedOn w:val="DefaultParagraphFont"/>
    <w:rsid w:val="003E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205159">
      <w:bodyDiv w:val="1"/>
      <w:marLeft w:val="0"/>
      <w:marRight w:val="0"/>
      <w:marTop w:val="0"/>
      <w:marBottom w:val="0"/>
      <w:divBdr>
        <w:top w:val="none" w:sz="0" w:space="0" w:color="auto"/>
        <w:left w:val="none" w:sz="0" w:space="0" w:color="auto"/>
        <w:bottom w:val="none" w:sz="0" w:space="0" w:color="auto"/>
        <w:right w:val="none" w:sz="0" w:space="0" w:color="auto"/>
      </w:divBdr>
    </w:div>
    <w:div w:id="1262372144">
      <w:bodyDiv w:val="1"/>
      <w:marLeft w:val="0"/>
      <w:marRight w:val="0"/>
      <w:marTop w:val="0"/>
      <w:marBottom w:val="0"/>
      <w:divBdr>
        <w:top w:val="none" w:sz="0" w:space="0" w:color="auto"/>
        <w:left w:val="none" w:sz="0" w:space="0" w:color="auto"/>
        <w:bottom w:val="none" w:sz="0" w:space="0" w:color="auto"/>
        <w:right w:val="none" w:sz="0" w:space="0" w:color="auto"/>
      </w:divBdr>
      <w:divsChild>
        <w:div w:id="1632514827">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354431328">
                  <w:marLeft w:val="0"/>
                  <w:marRight w:val="0"/>
                  <w:marTop w:val="0"/>
                  <w:marBottom w:val="0"/>
                  <w:divBdr>
                    <w:top w:val="none" w:sz="0" w:space="0" w:color="auto"/>
                    <w:left w:val="none" w:sz="0" w:space="0" w:color="auto"/>
                    <w:bottom w:val="none" w:sz="0" w:space="0" w:color="auto"/>
                    <w:right w:val="none" w:sz="0" w:space="0" w:color="auto"/>
                  </w:divBdr>
                  <w:divsChild>
                    <w:div w:id="983463828">
                      <w:marLeft w:val="0"/>
                      <w:marRight w:val="0"/>
                      <w:marTop w:val="0"/>
                      <w:marBottom w:val="0"/>
                      <w:divBdr>
                        <w:top w:val="none" w:sz="0" w:space="0" w:color="auto"/>
                        <w:left w:val="none" w:sz="0" w:space="0" w:color="auto"/>
                        <w:bottom w:val="none" w:sz="0" w:space="0" w:color="auto"/>
                        <w:right w:val="none" w:sz="0" w:space="0" w:color="auto"/>
                      </w:divBdr>
                      <w:divsChild>
                        <w:div w:id="1411585410">
                          <w:marLeft w:val="0"/>
                          <w:marRight w:val="0"/>
                          <w:marTop w:val="0"/>
                          <w:marBottom w:val="0"/>
                          <w:divBdr>
                            <w:top w:val="none" w:sz="0" w:space="0" w:color="auto"/>
                            <w:left w:val="none" w:sz="0" w:space="0" w:color="auto"/>
                            <w:bottom w:val="none" w:sz="0" w:space="0" w:color="auto"/>
                            <w:right w:val="none" w:sz="0" w:space="0" w:color="auto"/>
                          </w:divBdr>
                          <w:divsChild>
                            <w:div w:id="414864722">
                              <w:marLeft w:val="0"/>
                              <w:marRight w:val="0"/>
                              <w:marTop w:val="0"/>
                              <w:marBottom w:val="0"/>
                              <w:divBdr>
                                <w:top w:val="none" w:sz="0" w:space="0" w:color="auto"/>
                                <w:left w:val="none" w:sz="0" w:space="0" w:color="auto"/>
                                <w:bottom w:val="none" w:sz="0" w:space="0" w:color="auto"/>
                                <w:right w:val="none" w:sz="0" w:space="0" w:color="auto"/>
                              </w:divBdr>
                              <w:divsChild>
                                <w:div w:id="1162548900">
                                  <w:marLeft w:val="0"/>
                                  <w:marRight w:val="0"/>
                                  <w:marTop w:val="0"/>
                                  <w:marBottom w:val="0"/>
                                  <w:divBdr>
                                    <w:top w:val="none" w:sz="0" w:space="0" w:color="auto"/>
                                    <w:left w:val="none" w:sz="0" w:space="0" w:color="auto"/>
                                    <w:bottom w:val="none" w:sz="0" w:space="0" w:color="auto"/>
                                    <w:right w:val="none" w:sz="0" w:space="0" w:color="auto"/>
                                  </w:divBdr>
                                  <w:divsChild>
                                    <w:div w:id="748691860">
                                      <w:marLeft w:val="0"/>
                                      <w:marRight w:val="0"/>
                                      <w:marTop w:val="0"/>
                                      <w:marBottom w:val="0"/>
                                      <w:divBdr>
                                        <w:top w:val="none" w:sz="0" w:space="0" w:color="auto"/>
                                        <w:left w:val="none" w:sz="0" w:space="0" w:color="auto"/>
                                        <w:bottom w:val="none" w:sz="0" w:space="0" w:color="auto"/>
                                        <w:right w:val="none" w:sz="0" w:space="0" w:color="auto"/>
                                      </w:divBdr>
                                      <w:divsChild>
                                        <w:div w:id="1711758340">
                                          <w:marLeft w:val="0"/>
                                          <w:marRight w:val="0"/>
                                          <w:marTop w:val="0"/>
                                          <w:marBottom w:val="0"/>
                                          <w:divBdr>
                                            <w:top w:val="none" w:sz="0" w:space="0" w:color="auto"/>
                                            <w:left w:val="none" w:sz="0" w:space="0" w:color="auto"/>
                                            <w:bottom w:val="none" w:sz="0" w:space="0" w:color="auto"/>
                                            <w:right w:val="none" w:sz="0" w:space="0" w:color="auto"/>
                                          </w:divBdr>
                                          <w:divsChild>
                                            <w:div w:id="1064837832">
                                              <w:marLeft w:val="0"/>
                                              <w:marRight w:val="0"/>
                                              <w:marTop w:val="0"/>
                                              <w:marBottom w:val="0"/>
                                              <w:divBdr>
                                                <w:top w:val="single" w:sz="6" w:space="4" w:color="B6B6B6"/>
                                                <w:left w:val="single" w:sz="6" w:space="4" w:color="B6B6B6"/>
                                                <w:bottom w:val="single" w:sz="6" w:space="4" w:color="B6B6B6"/>
                                                <w:right w:val="single" w:sz="6" w:space="4" w:color="B6B6B6"/>
                                              </w:divBdr>
                                            </w:div>
                                          </w:divsChild>
                                        </w:div>
                                      </w:divsChild>
                                    </w:div>
                                  </w:divsChild>
                                </w:div>
                              </w:divsChild>
                            </w:div>
                          </w:divsChild>
                        </w:div>
                      </w:divsChild>
                    </w:div>
                  </w:divsChild>
                </w:div>
              </w:divsChild>
            </w:div>
          </w:divsChild>
        </w:div>
      </w:divsChild>
    </w:div>
    <w:div w:id="1649632432">
      <w:bodyDiv w:val="1"/>
      <w:marLeft w:val="0"/>
      <w:marRight w:val="0"/>
      <w:marTop w:val="0"/>
      <w:marBottom w:val="0"/>
      <w:divBdr>
        <w:top w:val="none" w:sz="0" w:space="0" w:color="auto"/>
        <w:left w:val="none" w:sz="0" w:space="0" w:color="auto"/>
        <w:bottom w:val="none" w:sz="0" w:space="0" w:color="auto"/>
        <w:right w:val="none" w:sz="0" w:space="0" w:color="auto"/>
      </w:divBdr>
    </w:div>
    <w:div w:id="1724788306">
      <w:bodyDiv w:val="1"/>
      <w:marLeft w:val="0"/>
      <w:marRight w:val="0"/>
      <w:marTop w:val="0"/>
      <w:marBottom w:val="0"/>
      <w:divBdr>
        <w:top w:val="none" w:sz="0" w:space="0" w:color="auto"/>
        <w:left w:val="none" w:sz="0" w:space="0" w:color="auto"/>
        <w:bottom w:val="none" w:sz="0" w:space="0" w:color="auto"/>
        <w:right w:val="none" w:sz="0" w:space="0" w:color="auto"/>
      </w:divBdr>
    </w:div>
    <w:div w:id="18283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124367.locale=fr" TargetMode="External"/><Relationship Id="rId13" Type="http://schemas.openxmlformats.org/officeDocument/2006/relationships/header" Target="header2.xml"/><Relationship Id="rId18" Type="http://schemas.openxmlformats.org/officeDocument/2006/relationships/hyperlink" Target="https://unesdoc.unesco.org/ark:/48223/pf0000260721.locale=en"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unesdoc.unesco.org/ark:/48223/pf0000390082.locale=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esdoc.unesco.org/ark:/48223/pf0000390054.locale=en" TargetMode="External"/><Relationship Id="rId20" Type="http://schemas.openxmlformats.org/officeDocument/2006/relationships/hyperlink" Target="https://www.mspglobal2030.or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eanexpert.org/document/3627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eanexpert.org/document/1730" TargetMode="External"/><Relationship Id="rId23" Type="http://schemas.openxmlformats.org/officeDocument/2006/relationships/header" Target="header6.xml"/><Relationship Id="rId10" Type="http://schemas.openxmlformats.org/officeDocument/2006/relationships/hyperlink" Target="https://www.oceanexpert.org/document/36076" TargetMode="External"/><Relationship Id="rId19" Type="http://schemas.openxmlformats.org/officeDocument/2006/relationships/hyperlink" Target="https://unesdoc.unesco.org/ark:/48223/pf0000381488.locale=en" TargetMode="External"/><Relationship Id="rId4" Type="http://schemas.openxmlformats.org/officeDocument/2006/relationships/settings" Target="settings.xml"/><Relationship Id="rId9" Type="http://schemas.openxmlformats.org/officeDocument/2006/relationships/hyperlink" Target="https://unesdoc.unesco.org/ark:/48223/pf0000125186.locale=fr" TargetMode="External"/><Relationship Id="rId14" Type="http://schemas.openxmlformats.org/officeDocument/2006/relationships/header" Target="header3.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Temporary%20Internet%20Files\Content.Outlook\U6GEGBZT\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18B0-5666-440B-8D2F-95A639E105B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Template WD-IOC27.dotx</Template>
  <TotalTime>14</TotalTime>
  <Pages>6</Pages>
  <Words>2458</Words>
  <Characters>14933</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3</cp:revision>
  <cp:lastPrinted>2025-04-16T20:08:00Z</cp:lastPrinted>
  <dcterms:created xsi:type="dcterms:W3CDTF">2025-04-16T20:05:00Z</dcterms:created>
  <dcterms:modified xsi:type="dcterms:W3CDTF">2025-04-16T20:09:00Z</dcterms:modified>
</cp:coreProperties>
</file>